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2C8BB41C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672C70" w:rsidRPr="00AC7A08">
        <w:rPr>
          <w:rStyle w:val="normaltextrun"/>
          <w:b/>
          <w:bCs/>
          <w:color w:val="000000" w:themeColor="text1"/>
          <w:sz w:val="22"/>
          <w:szCs w:val="22"/>
        </w:rPr>
        <w:t>October 12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2022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163B4F03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Alex Duffy,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Mary Hollywood, 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5884F975" w:rsidR="00367678" w:rsidRPr="00AC7A08" w:rsidRDefault="00367678" w:rsidP="7B4D6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10 minutes total)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2C26D5C0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September </w:t>
      </w:r>
      <w:r w:rsidR="00672C70"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28</w:t>
      </w: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, 2022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194EF5CF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5FFA7488" w14:textId="3C1E33EC" w:rsidR="00672C70" w:rsidRPr="00AC7A08" w:rsidRDefault="001968AD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Address Executive Committee’s comments about Policy 3.2.12 Ombudsperson</w:t>
      </w:r>
      <w:r w:rsidR="001D0F60" w:rsidRPr="00AC7A08">
        <w:rPr>
          <w:rStyle w:val="eop"/>
          <w:color w:val="000000" w:themeColor="text1"/>
          <w:sz w:val="22"/>
          <w:szCs w:val="22"/>
        </w:rPr>
        <w:t>, which will be listed on the Academic Senate’s agenda as an information item</w:t>
      </w:r>
      <w:r w:rsidRPr="00AC7A08">
        <w:rPr>
          <w:rStyle w:val="eop"/>
          <w:color w:val="000000" w:themeColor="text1"/>
          <w:sz w:val="22"/>
          <w:szCs w:val="22"/>
        </w:rPr>
        <w:t>:</w:t>
      </w:r>
    </w:p>
    <w:p w14:paraId="072ED0D4" w14:textId="77777777" w:rsidR="007460DC" w:rsidRPr="00AC7A08" w:rsidRDefault="007460DC" w:rsidP="00D60B9C">
      <w:pPr>
        <w:pStyle w:val="ListParagraph"/>
        <w:numPr>
          <w:ilvl w:val="0"/>
          <w:numId w:val="2"/>
        </w:numPr>
        <w:tabs>
          <w:tab w:val="clear" w:pos="720"/>
        </w:tabs>
        <w:ind w:left="1260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</w:rPr>
        <w:t>Page 6 – “pursuant to” is the standard phrase, I believe (not pursuant under).</w:t>
      </w:r>
    </w:p>
    <w:p w14:paraId="2A0E04BF" w14:textId="77777777" w:rsidR="007460DC" w:rsidRPr="00AC7A08" w:rsidRDefault="007460DC" w:rsidP="00D60B9C">
      <w:pPr>
        <w:pStyle w:val="ListParagraph"/>
        <w:numPr>
          <w:ilvl w:val="0"/>
          <w:numId w:val="2"/>
        </w:numPr>
        <w:tabs>
          <w:tab w:val="clear" w:pos="720"/>
        </w:tabs>
        <w:ind w:left="1260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</w:rPr>
        <w:t>A member noted that the committee did not change the number on the Council (increasing #).</w:t>
      </w:r>
    </w:p>
    <w:p w14:paraId="454F054E" w14:textId="77777777" w:rsidR="00E2534A" w:rsidRPr="00AC7A08" w:rsidRDefault="007460DC" w:rsidP="00D60B9C">
      <w:pPr>
        <w:pStyle w:val="ListParagraph"/>
        <w:numPr>
          <w:ilvl w:val="0"/>
          <w:numId w:val="2"/>
        </w:numPr>
        <w:tabs>
          <w:tab w:val="clear" w:pos="720"/>
        </w:tabs>
        <w:ind w:left="1260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</w:rPr>
        <w:t xml:space="preserve">The first clause is odd.  If a staff person retires and two faculty become administrators, then the policy would become </w:t>
      </w:r>
      <w:proofErr w:type="gramStart"/>
      <w:r w:rsidRPr="00AC7A08">
        <w:rPr>
          <w:rFonts w:ascii="Times New Roman" w:eastAsia="Times New Roman" w:hAnsi="Times New Roman" w:cs="Times New Roman"/>
        </w:rPr>
        <w:t>superfluous</w:t>
      </w:r>
      <w:proofErr w:type="gramEnd"/>
      <w:r w:rsidRPr="00AC7A08">
        <w:rPr>
          <w:rFonts w:ascii="Times New Roman" w:eastAsia="Times New Roman" w:hAnsi="Times New Roman" w:cs="Times New Roman"/>
        </w:rPr>
        <w:t xml:space="preserve"> and the council would cease to exist?</w:t>
      </w:r>
    </w:p>
    <w:p w14:paraId="41DB28B4" w14:textId="1249F51D" w:rsidR="00683A32" w:rsidRPr="00AC7A08" w:rsidRDefault="008E1FDC" w:rsidP="00D60B9C">
      <w:pPr>
        <w:pStyle w:val="ListParagraph"/>
        <w:numPr>
          <w:ilvl w:val="0"/>
          <w:numId w:val="2"/>
        </w:numPr>
        <w:tabs>
          <w:tab w:val="clear" w:pos="720"/>
        </w:tabs>
        <w:ind w:left="1260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</w:rPr>
        <w:t xml:space="preserve">Emailed revision </w:t>
      </w:r>
      <w:r w:rsidR="00E807D8" w:rsidRPr="00AC7A08">
        <w:rPr>
          <w:rFonts w:ascii="Times New Roman" w:eastAsia="Times New Roman" w:hAnsi="Times New Roman" w:cs="Times New Roman"/>
        </w:rPr>
        <w:t xml:space="preserve">(Pete, </w:t>
      </w:r>
      <w:r w:rsidRPr="00AC7A08">
        <w:rPr>
          <w:rFonts w:ascii="Times New Roman" w:eastAsia="Times New Roman" w:hAnsi="Times New Roman" w:cs="Times New Roman"/>
        </w:rPr>
        <w:t>10/3/22</w:t>
      </w:r>
      <w:r w:rsidR="00E807D8" w:rsidRPr="00AC7A08">
        <w:rPr>
          <w:rFonts w:ascii="Times New Roman" w:eastAsia="Times New Roman" w:hAnsi="Times New Roman" w:cs="Times New Roman"/>
        </w:rPr>
        <w:t>)</w:t>
      </w:r>
      <w:r w:rsidRPr="00AC7A08">
        <w:rPr>
          <w:rFonts w:ascii="Times New Roman" w:eastAsia="Times New Roman" w:hAnsi="Times New Roman" w:cs="Times New Roman"/>
        </w:rPr>
        <w:t xml:space="preserve"> about eligible candidates: </w:t>
      </w:r>
      <w:r w:rsidR="00E2534A" w:rsidRPr="00AC7A08">
        <w:rPr>
          <w:rFonts w:ascii="Times New Roman" w:hAnsi="Times New Roman" w:cs="Times New Roman"/>
        </w:rPr>
        <w:t xml:space="preserve">“Candidates not eligible for open seats in any particular year </w:t>
      </w:r>
      <w:r w:rsidR="00E2534A" w:rsidRPr="0025747D">
        <w:rPr>
          <w:rFonts w:ascii="Times New Roman" w:hAnsi="Times New Roman" w:cs="Times New Roman"/>
          <w:color w:val="000000"/>
          <w:shd w:val="clear" w:color="auto" w:fill="FFFF00"/>
        </w:rPr>
        <w:t xml:space="preserve">shall be invited to submit their names </w:t>
      </w:r>
      <w:r w:rsidR="00E2534A" w:rsidRPr="0025747D">
        <w:rPr>
          <w:rFonts w:ascii="Times New Roman" w:hAnsi="Times New Roman" w:cs="Times New Roman"/>
          <w:color w:val="000000"/>
          <w:u w:val="single"/>
          <w:shd w:val="clear" w:color="auto" w:fill="FFFF00"/>
        </w:rPr>
        <w:t>to the Faculty Caucus</w:t>
      </w:r>
      <w:r w:rsidR="00E2534A" w:rsidRPr="0025747D">
        <w:rPr>
          <w:rFonts w:ascii="Times New Roman" w:hAnsi="Times New Roman" w:cs="Times New Roman"/>
          <w:color w:val="000000"/>
          <w:shd w:val="clear" w:color="auto" w:fill="FFFF00"/>
        </w:rPr>
        <w:t xml:space="preserve"> once they become</w:t>
      </w:r>
      <w:r w:rsidR="00E2534A" w:rsidRPr="00AC7A08">
        <w:rPr>
          <w:rFonts w:ascii="Times New Roman" w:hAnsi="Times New Roman" w:cs="Times New Roman"/>
        </w:rPr>
        <w:t xml:space="preserve"> eligible.”</w:t>
      </w:r>
    </w:p>
    <w:p w14:paraId="5DF45D90" w14:textId="23646C40" w:rsidR="000161DB" w:rsidRPr="00AC7A08" w:rsidRDefault="000161DB" w:rsidP="00D60B9C">
      <w:pPr>
        <w:pStyle w:val="ListParagraph"/>
        <w:numPr>
          <w:ilvl w:val="0"/>
          <w:numId w:val="2"/>
        </w:numPr>
        <w:tabs>
          <w:tab w:val="clear" w:pos="720"/>
        </w:tabs>
        <w:ind w:left="1260"/>
        <w:rPr>
          <w:rStyle w:val="eop"/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</w:rPr>
        <w:t xml:space="preserve">We </w:t>
      </w:r>
      <w:r w:rsidR="00477C35" w:rsidRPr="00AC7A08">
        <w:rPr>
          <w:rFonts w:ascii="Times New Roman" w:eastAsia="Times New Roman" w:hAnsi="Times New Roman" w:cs="Times New Roman"/>
        </w:rPr>
        <w:t xml:space="preserve">(Pete) can announce any text revisions from the floor before the item goes up </w:t>
      </w:r>
      <w:r w:rsidR="000E0811" w:rsidRPr="00AC7A08">
        <w:rPr>
          <w:rFonts w:ascii="Times New Roman" w:eastAsia="Times New Roman" w:hAnsi="Times New Roman" w:cs="Times New Roman"/>
        </w:rPr>
        <w:t>as an action item.</w:t>
      </w:r>
    </w:p>
    <w:p w14:paraId="51ABAE0B" w14:textId="32C18B56" w:rsidR="00AD2A63" w:rsidRPr="00AC7A08" w:rsidRDefault="00AD2A63" w:rsidP="00D60B9C">
      <w:pPr>
        <w:numPr>
          <w:ilvl w:val="0"/>
          <w:numId w:val="2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  <w:color w:val="000000"/>
        </w:rPr>
        <w:t>Discuss replies from committee</w:t>
      </w:r>
      <w:r w:rsidR="008F077F" w:rsidRPr="00AC7A08">
        <w:rPr>
          <w:rFonts w:ascii="Times New Roman" w:eastAsia="Times New Roman" w:hAnsi="Times New Roman" w:cs="Times New Roman"/>
          <w:color w:val="000000"/>
        </w:rPr>
        <w:t>s about</w:t>
      </w:r>
      <w:r w:rsidRPr="00AC7A08">
        <w:rPr>
          <w:rFonts w:ascii="Times New Roman" w:eastAsia="Times New Roman" w:hAnsi="Times New Roman" w:cs="Times New Roman"/>
          <w:color w:val="000000"/>
        </w:rPr>
        <w:t xml:space="preserve"> annual reports received</w:t>
      </w:r>
      <w:r w:rsidR="008F077F" w:rsidRPr="00AC7A08">
        <w:rPr>
          <w:rFonts w:ascii="Times New Roman" w:eastAsia="Times New Roman" w:hAnsi="Times New Roman" w:cs="Times New Roman"/>
          <w:color w:val="000000"/>
        </w:rPr>
        <w:t xml:space="preserve"> and vote on acceptance with these comments as addenda</w:t>
      </w:r>
      <w:r w:rsidRPr="00AC7A08">
        <w:rPr>
          <w:rFonts w:ascii="Times New Roman" w:eastAsia="Times New Roman" w:hAnsi="Times New Roman" w:cs="Times New Roman"/>
          <w:color w:val="000000"/>
        </w:rPr>
        <w:t>: </w:t>
      </w:r>
    </w:p>
    <w:p w14:paraId="4240ADE5" w14:textId="77777777" w:rsidR="00AD2A63" w:rsidRPr="00AC7A08" w:rsidRDefault="00AD2A63" w:rsidP="00D60B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  <w:color w:val="000000"/>
        </w:rPr>
        <w:t>AFEGC </w:t>
      </w:r>
    </w:p>
    <w:p w14:paraId="465BF21F" w14:textId="77777777" w:rsidR="00AD2A63" w:rsidRPr="00AC7A08" w:rsidRDefault="00AD2A63" w:rsidP="00D60B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  <w:color w:val="000000"/>
        </w:rPr>
        <w:t>Athletics Council </w:t>
      </w:r>
    </w:p>
    <w:p w14:paraId="0BB7CC4A" w14:textId="32E39A36" w:rsidR="006A74DB" w:rsidRPr="00AC7A08" w:rsidRDefault="00010445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Update on </w:t>
      </w:r>
      <w:r w:rsidR="00AE7FA6" w:rsidRPr="00AC7A08">
        <w:rPr>
          <w:rStyle w:val="eop"/>
          <w:color w:val="000000" w:themeColor="text1"/>
          <w:sz w:val="22"/>
          <w:szCs w:val="22"/>
        </w:rPr>
        <w:t xml:space="preserve">policies </w:t>
      </w:r>
    </w:p>
    <w:p w14:paraId="7075B638" w14:textId="5EA4BBCA" w:rsidR="00AE7FA6" w:rsidRPr="00AC7A08" w:rsidRDefault="00AE7FA6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Policy 3.3.10 </w:t>
      </w:r>
      <w:r w:rsidR="00577974" w:rsidRPr="00AC7A08">
        <w:rPr>
          <w:rStyle w:val="eop"/>
          <w:color w:val="000000" w:themeColor="text1"/>
          <w:sz w:val="22"/>
          <w:szCs w:val="22"/>
        </w:rPr>
        <w:t>Termination Notification of Faculty (Mary)</w:t>
      </w:r>
    </w:p>
    <w:p w14:paraId="52B3F2E5" w14:textId="0D8F320C" w:rsidR="00577974" w:rsidRPr="00AC7A08" w:rsidRDefault="00577974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Policy 3.3.11 </w:t>
      </w:r>
      <w:r w:rsidR="001F7195" w:rsidRPr="00AC7A08">
        <w:rPr>
          <w:rStyle w:val="eop"/>
          <w:color w:val="000000" w:themeColor="text1"/>
          <w:sz w:val="22"/>
          <w:szCs w:val="22"/>
        </w:rPr>
        <w:t>Endowed Chairs &amp; Professorships (Tom)</w:t>
      </w:r>
    </w:p>
    <w:p w14:paraId="3F8BA150" w14:textId="4F49F0D7" w:rsidR="00D51306" w:rsidRDefault="002671D8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913B3B">
        <w:rPr>
          <w:rStyle w:val="eop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D22CA8" wp14:editId="7FDB65EE">
                <wp:simplePos x="0" y="0"/>
                <wp:positionH relativeFrom="column">
                  <wp:posOffset>3888410</wp:posOffset>
                </wp:positionH>
                <wp:positionV relativeFrom="page">
                  <wp:posOffset>6173470</wp:posOffset>
                </wp:positionV>
                <wp:extent cx="2354580" cy="2705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A29D" w14:textId="488F6F8D" w:rsidR="00913B3B" w:rsidRDefault="00913B3B">
                            <w:r w:rsidRPr="00AC7A08">
                              <w:rPr>
                                <w:rStyle w:val="eop"/>
                                <w:color w:val="000000" w:themeColor="text1"/>
                              </w:rPr>
                              <w:t>(General Counsel response on FOIA)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2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15pt;margin-top:486.1pt;width:185.4pt;height:21.3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" filled="f" stroked="f">
                <v:textbox>
                  <w:txbxContent>
                    <w:p w14:paraId="2E52A29D" w14:textId="488F6F8D" w:rsidR="00913B3B" w:rsidRDefault="00913B3B">
                      <w:r w:rsidRPr="00AC7A08">
                        <w:rPr>
                          <w:rStyle w:val="eop"/>
                          <w:color w:val="000000" w:themeColor="text1"/>
                        </w:rPr>
                        <w:t>(General Counsel response on FOIA)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32236B" wp14:editId="4E58F39E">
                <wp:simplePos x="0" y="0"/>
                <wp:positionH relativeFrom="column">
                  <wp:posOffset>3831260</wp:posOffset>
                </wp:positionH>
                <wp:positionV relativeFrom="paragraph">
                  <wp:posOffset>30480</wp:posOffset>
                </wp:positionV>
                <wp:extent cx="116840" cy="277495"/>
                <wp:effectExtent l="0" t="0" r="16510" b="2730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27749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A11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1.65pt;margin-top:2.4pt;width:9.2pt;height:2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" adj="758" strokecolor="black [3213]" strokeweight="1pt">
                <v:stroke joinstyle="miter"/>
              </v:shape>
            </w:pict>
          </mc:Fallback>
        </mc:AlternateContent>
      </w:r>
      <w:r w:rsidR="00E14A50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F80CEC" wp14:editId="62A9544D">
                <wp:simplePos x="0" y="0"/>
                <wp:positionH relativeFrom="column">
                  <wp:posOffset>402336</wp:posOffset>
                </wp:positionH>
                <wp:positionV relativeFrom="paragraph">
                  <wp:posOffset>38379</wp:posOffset>
                </wp:positionV>
                <wp:extent cx="116586" cy="292608"/>
                <wp:effectExtent l="0" t="0" r="17145" b="1270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" cy="292608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095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1.7pt;margin-top:3pt;width:9.2pt;height:23.0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" adj="717" strokecolor="black [3213]" strokeweight="1pt">
                <v:stroke joinstyle="miter"/>
              </v:shape>
            </w:pict>
          </mc:Fallback>
        </mc:AlternateContent>
      </w:r>
      <w:r w:rsidR="00D51306">
        <w:rPr>
          <w:rStyle w:val="eop"/>
          <w:color w:val="000000" w:themeColor="text1"/>
          <w:sz w:val="22"/>
          <w:szCs w:val="22"/>
        </w:rPr>
        <w:t>Policy 3.3.8 Academic Freedom, Ethics, &amp; Grievance</w:t>
      </w:r>
    </w:p>
    <w:p w14:paraId="7F2D5643" w14:textId="2C9E7A71" w:rsidR="00532238" w:rsidRPr="00AC7A08" w:rsidRDefault="00532238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Policy 3.3.13 Academic Freedom </w:t>
      </w:r>
    </w:p>
    <w:p w14:paraId="42050404" w14:textId="176C989B" w:rsidR="001F7195" w:rsidRPr="00AC7A08" w:rsidRDefault="001F7195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4.1.13 Classified Research (Tom)</w:t>
      </w:r>
    </w:p>
    <w:p w14:paraId="01727DED" w14:textId="12F7F577" w:rsidR="00EC2E3F" w:rsidRPr="00AC7A08" w:rsidRDefault="00EC2E3F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Need lead reviewers for:</w:t>
      </w:r>
    </w:p>
    <w:p w14:paraId="3E082A87" w14:textId="3ABB89A5" w:rsidR="00EC2E3F" w:rsidRPr="00AC7A08" w:rsidRDefault="00EC2E3F" w:rsidP="00D60B9C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3.2.14 Assignment of persons holding f</w:t>
      </w:r>
      <w:r w:rsidR="00980E62" w:rsidRPr="00AC7A08">
        <w:rPr>
          <w:rStyle w:val="eop"/>
          <w:color w:val="000000" w:themeColor="text1"/>
          <w:sz w:val="22"/>
          <w:szCs w:val="22"/>
        </w:rPr>
        <w:t xml:space="preserve">aculty rank to administrative or other </w:t>
      </w:r>
      <w:proofErr w:type="spellStart"/>
      <w:r w:rsidR="00980E62" w:rsidRPr="00AC7A08">
        <w:rPr>
          <w:rStyle w:val="eop"/>
          <w:color w:val="000000" w:themeColor="text1"/>
          <w:sz w:val="22"/>
          <w:szCs w:val="22"/>
        </w:rPr>
        <w:t>nondepartmental</w:t>
      </w:r>
      <w:proofErr w:type="spellEnd"/>
      <w:r w:rsidR="00980E62" w:rsidRPr="00AC7A08">
        <w:rPr>
          <w:rStyle w:val="eop"/>
          <w:color w:val="000000" w:themeColor="text1"/>
          <w:sz w:val="22"/>
          <w:szCs w:val="22"/>
        </w:rPr>
        <w:t xml:space="preserve"> positions</w:t>
      </w:r>
    </w:p>
    <w:p w14:paraId="53F862F9" w14:textId="4268B87C" w:rsidR="00980E62" w:rsidRPr="00AC7A08" w:rsidRDefault="00980E62" w:rsidP="00D60B9C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</w:t>
      </w:r>
      <w:r w:rsidR="008C3AFE" w:rsidRPr="00AC7A08">
        <w:rPr>
          <w:rStyle w:val="eop"/>
          <w:color w:val="000000" w:themeColor="text1"/>
          <w:sz w:val="22"/>
          <w:szCs w:val="22"/>
        </w:rPr>
        <w:t>4 University Professor</w:t>
      </w:r>
    </w:p>
    <w:p w14:paraId="5B2F4D72" w14:textId="3E3B3649" w:rsidR="008C3AFE" w:rsidRPr="00AC7A08" w:rsidRDefault="008C3AFE" w:rsidP="00D60B9C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3.5.2 Lab School Continued Service—Faculty Associate</w:t>
      </w:r>
    </w:p>
    <w:p w14:paraId="496771BC" w14:textId="73351A37" w:rsidR="00E10F4A" w:rsidRPr="00AC7A08" w:rsidRDefault="00E10F4A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4.1.11 Export Control</w:t>
      </w:r>
    </w:p>
    <w:p w14:paraId="2A3D4E90" w14:textId="4FA3D16A" w:rsidR="00C6021D" w:rsidRPr="00AC7A08" w:rsidRDefault="00C6021D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Template email for request for review in Teams</w:t>
      </w:r>
    </w:p>
    <w:p w14:paraId="3F688DFC" w14:textId="58568EF9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Other FAC business or matters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4C085989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Adjourn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2C078E63" w14:textId="242D2223" w:rsidR="003E4137" w:rsidRPr="00AC7A08" w:rsidRDefault="00C03E5F" w:rsidP="00C03E5F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AC7A08">
        <w:rPr>
          <w:rStyle w:val="eop"/>
          <w:i/>
          <w:iCs/>
          <w:sz w:val="22"/>
          <w:szCs w:val="22"/>
        </w:rPr>
        <w:t xml:space="preserve">Approved in committee:  </w:t>
      </w:r>
    </w:p>
    <w:sectPr w:rsidR="003E4137" w:rsidRPr="00AC7A08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61DB"/>
    <w:rsid w:val="000171C3"/>
    <w:rsid w:val="000416DE"/>
    <w:rsid w:val="00046689"/>
    <w:rsid w:val="000626F6"/>
    <w:rsid w:val="000A3C0C"/>
    <w:rsid w:val="000E0811"/>
    <w:rsid w:val="000F5638"/>
    <w:rsid w:val="00127453"/>
    <w:rsid w:val="00131A63"/>
    <w:rsid w:val="00193DDB"/>
    <w:rsid w:val="001968AD"/>
    <w:rsid w:val="001D0F60"/>
    <w:rsid w:val="001F37E3"/>
    <w:rsid w:val="001F7195"/>
    <w:rsid w:val="0021288E"/>
    <w:rsid w:val="0022014A"/>
    <w:rsid w:val="00224C01"/>
    <w:rsid w:val="0025747D"/>
    <w:rsid w:val="002671D8"/>
    <w:rsid w:val="00274ECB"/>
    <w:rsid w:val="00285BCA"/>
    <w:rsid w:val="002E73E1"/>
    <w:rsid w:val="0031029B"/>
    <w:rsid w:val="0033334E"/>
    <w:rsid w:val="003348BF"/>
    <w:rsid w:val="0034086D"/>
    <w:rsid w:val="00367678"/>
    <w:rsid w:val="00397ADE"/>
    <w:rsid w:val="003B58A2"/>
    <w:rsid w:val="003B737A"/>
    <w:rsid w:val="003D3547"/>
    <w:rsid w:val="003E4137"/>
    <w:rsid w:val="003F2946"/>
    <w:rsid w:val="00423CAD"/>
    <w:rsid w:val="00440398"/>
    <w:rsid w:val="00461FC2"/>
    <w:rsid w:val="00477C35"/>
    <w:rsid w:val="00487D31"/>
    <w:rsid w:val="00510A27"/>
    <w:rsid w:val="00532238"/>
    <w:rsid w:val="00577974"/>
    <w:rsid w:val="00582F15"/>
    <w:rsid w:val="005F0850"/>
    <w:rsid w:val="00656271"/>
    <w:rsid w:val="00672BDB"/>
    <w:rsid w:val="00672C70"/>
    <w:rsid w:val="00683A32"/>
    <w:rsid w:val="006A07AD"/>
    <w:rsid w:val="006A74DB"/>
    <w:rsid w:val="007013DC"/>
    <w:rsid w:val="00713D5B"/>
    <w:rsid w:val="00735C4A"/>
    <w:rsid w:val="007460DC"/>
    <w:rsid w:val="007A7BA4"/>
    <w:rsid w:val="007C3E6A"/>
    <w:rsid w:val="007C6F1F"/>
    <w:rsid w:val="00825F4B"/>
    <w:rsid w:val="008435DC"/>
    <w:rsid w:val="00867E69"/>
    <w:rsid w:val="00872EDA"/>
    <w:rsid w:val="008879BC"/>
    <w:rsid w:val="008B47FC"/>
    <w:rsid w:val="008C2781"/>
    <w:rsid w:val="008C3AFE"/>
    <w:rsid w:val="008E1FDC"/>
    <w:rsid w:val="008E270C"/>
    <w:rsid w:val="008E6D7D"/>
    <w:rsid w:val="008F077F"/>
    <w:rsid w:val="008F33BE"/>
    <w:rsid w:val="00913B3B"/>
    <w:rsid w:val="009429D1"/>
    <w:rsid w:val="009625C6"/>
    <w:rsid w:val="00980E62"/>
    <w:rsid w:val="009D07EA"/>
    <w:rsid w:val="009D72C0"/>
    <w:rsid w:val="009E0983"/>
    <w:rsid w:val="009F46F5"/>
    <w:rsid w:val="00A047B7"/>
    <w:rsid w:val="00A34DEB"/>
    <w:rsid w:val="00A3671F"/>
    <w:rsid w:val="00A45096"/>
    <w:rsid w:val="00A7415C"/>
    <w:rsid w:val="00A85025"/>
    <w:rsid w:val="00AB3B06"/>
    <w:rsid w:val="00AC7A08"/>
    <w:rsid w:val="00AD1521"/>
    <w:rsid w:val="00AD2A63"/>
    <w:rsid w:val="00AE7FA6"/>
    <w:rsid w:val="00B64412"/>
    <w:rsid w:val="00B730BA"/>
    <w:rsid w:val="00B83EB8"/>
    <w:rsid w:val="00B91EC6"/>
    <w:rsid w:val="00BE4448"/>
    <w:rsid w:val="00BE6467"/>
    <w:rsid w:val="00BF0AF1"/>
    <w:rsid w:val="00C00325"/>
    <w:rsid w:val="00C03E5F"/>
    <w:rsid w:val="00C253D4"/>
    <w:rsid w:val="00C26855"/>
    <w:rsid w:val="00C4707E"/>
    <w:rsid w:val="00C6021D"/>
    <w:rsid w:val="00C65A71"/>
    <w:rsid w:val="00C6708C"/>
    <w:rsid w:val="00CA3C22"/>
    <w:rsid w:val="00CD07BF"/>
    <w:rsid w:val="00CE0B18"/>
    <w:rsid w:val="00CF7B45"/>
    <w:rsid w:val="00D15482"/>
    <w:rsid w:val="00D44929"/>
    <w:rsid w:val="00D51306"/>
    <w:rsid w:val="00D60B9C"/>
    <w:rsid w:val="00D630E2"/>
    <w:rsid w:val="00DB6BC5"/>
    <w:rsid w:val="00DD1364"/>
    <w:rsid w:val="00E10F4A"/>
    <w:rsid w:val="00E124EE"/>
    <w:rsid w:val="00E14A50"/>
    <w:rsid w:val="00E2534A"/>
    <w:rsid w:val="00E57921"/>
    <w:rsid w:val="00E64802"/>
    <w:rsid w:val="00E807D8"/>
    <w:rsid w:val="00E871E0"/>
    <w:rsid w:val="00EA01D0"/>
    <w:rsid w:val="00EC2E3F"/>
    <w:rsid w:val="00EE3679"/>
    <w:rsid w:val="00F1331B"/>
    <w:rsid w:val="00F41C41"/>
    <w:rsid w:val="00F6042E"/>
    <w:rsid w:val="00F90E88"/>
    <w:rsid w:val="00F93194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D5E1F78"/>
    <w:rsid w:val="1F3E89EB"/>
    <w:rsid w:val="2056C562"/>
    <w:rsid w:val="22C4DAC7"/>
    <w:rsid w:val="23955690"/>
    <w:rsid w:val="23F6E81C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4D65364"/>
    <w:rsid w:val="35A05966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DD22DD0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92C726B"/>
    <w:rsid w:val="5CAF5BBB"/>
    <w:rsid w:val="5D7C7A20"/>
    <w:rsid w:val="5E398BA3"/>
    <w:rsid w:val="5F767342"/>
    <w:rsid w:val="61364E0B"/>
    <w:rsid w:val="6396EAA4"/>
    <w:rsid w:val="63CA6125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4D6C1F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55f24e-9b6f-44fb-8900-f2fafbdf3c89"/>
    <ds:schemaRef ds:uri="http://purl.org/dc/terms/"/>
    <ds:schemaRef ds:uri="http://schemas.openxmlformats.org/package/2006/metadata/core-properties"/>
    <ds:schemaRef ds:uri="25bc289e-375e-4be1-801f-c0908b9877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2</cp:revision>
  <dcterms:created xsi:type="dcterms:W3CDTF">2022-10-07T16:44:00Z</dcterms:created>
  <dcterms:modified xsi:type="dcterms:W3CDTF">2022-10-07T16:44:00Z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