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E786" w14:textId="3250A05A" w:rsidR="7CE8F651" w:rsidRDefault="7CE8F651" w:rsidP="7CE8F651">
      <w:pPr>
        <w:jc w:val="center"/>
      </w:pPr>
      <w:r w:rsidRPr="7CE8F651">
        <w:rPr>
          <w:rFonts w:ascii="Arial" w:eastAsia="Arial" w:hAnsi="Arial" w:cs="Arial"/>
        </w:rPr>
        <w:t>Minutes</w:t>
      </w:r>
    </w:p>
    <w:p w14:paraId="23E7C5A3" w14:textId="7577C1D8" w:rsidR="7CE8F651" w:rsidRDefault="7CE8F651" w:rsidP="7CE8F651">
      <w:pPr>
        <w:jc w:val="center"/>
      </w:pPr>
      <w:r w:rsidRPr="7CE8F651">
        <w:rPr>
          <w:rFonts w:ascii="Arial" w:eastAsia="Arial" w:hAnsi="Arial" w:cs="Arial"/>
        </w:rPr>
        <w:t>Faculty Affairs Committee</w:t>
      </w:r>
    </w:p>
    <w:p w14:paraId="62181743" w14:textId="33222C08" w:rsidR="7CE8F651" w:rsidRDefault="7CE8F651" w:rsidP="7CE8F651">
      <w:pPr>
        <w:jc w:val="center"/>
      </w:pPr>
      <w:r w:rsidRPr="7CE8F651">
        <w:rPr>
          <w:rFonts w:ascii="Arial" w:eastAsia="Arial" w:hAnsi="Arial" w:cs="Arial"/>
        </w:rPr>
        <w:t>March 29, 2017</w:t>
      </w:r>
    </w:p>
    <w:p w14:paraId="0DDD4266" w14:textId="3D102B57" w:rsidR="7CE8F651" w:rsidRDefault="7CE8F651" w:rsidP="7CE8F651">
      <w:pPr>
        <w:jc w:val="center"/>
      </w:pPr>
      <w:r w:rsidRPr="7CE8F651">
        <w:rPr>
          <w:rFonts w:ascii="Arial" w:eastAsia="Arial" w:hAnsi="Arial" w:cs="Arial"/>
        </w:rPr>
        <w:t>6:00 p.m.</w:t>
      </w:r>
    </w:p>
    <w:p w14:paraId="546BD0D0" w14:textId="2074128D" w:rsidR="7CE8F651" w:rsidRDefault="7CE8F651" w:rsidP="7CE8F651">
      <w:pPr>
        <w:jc w:val="center"/>
      </w:pPr>
      <w:r w:rsidRPr="7CE8F651">
        <w:rPr>
          <w:rFonts w:ascii="Arial" w:eastAsia="Arial" w:hAnsi="Arial" w:cs="Arial"/>
        </w:rPr>
        <w:t>Bone Student Center</w:t>
      </w:r>
    </w:p>
    <w:p w14:paraId="56F71FC7" w14:textId="3A233A13" w:rsidR="7CE8F651" w:rsidRDefault="7CE8F651">
      <w:r>
        <w:br/>
      </w:r>
    </w:p>
    <w:p w14:paraId="36490736" w14:textId="699BF069" w:rsidR="7CE8F651" w:rsidRDefault="7CE8F651">
      <w:r w:rsidRPr="7CE8F651">
        <w:rPr>
          <w:rFonts w:ascii="Arial" w:eastAsia="Arial" w:hAnsi="Arial" w:cs="Arial"/>
        </w:rPr>
        <w:t xml:space="preserve">Members Attending: John </w:t>
      </w:r>
      <w:proofErr w:type="spellStart"/>
      <w:r w:rsidRPr="7CE8F651">
        <w:rPr>
          <w:rFonts w:ascii="Arial" w:eastAsia="Arial" w:hAnsi="Arial" w:cs="Arial"/>
        </w:rPr>
        <w:t>Baur</w:t>
      </w:r>
      <w:proofErr w:type="spellEnd"/>
      <w:r w:rsidRPr="7CE8F651">
        <w:rPr>
          <w:rFonts w:ascii="Arial" w:eastAsia="Arial" w:hAnsi="Arial" w:cs="Arial"/>
        </w:rPr>
        <w:t xml:space="preserve">, Michaelene Cox, Dan </w:t>
      </w:r>
      <w:proofErr w:type="spellStart"/>
      <w:r w:rsidRPr="7CE8F651">
        <w:rPr>
          <w:rFonts w:ascii="Arial" w:eastAsia="Arial" w:hAnsi="Arial" w:cs="Arial"/>
        </w:rPr>
        <w:t>Liechty</w:t>
      </w:r>
      <w:proofErr w:type="spellEnd"/>
      <w:r w:rsidRPr="7CE8F651">
        <w:rPr>
          <w:rFonts w:ascii="Arial" w:eastAsia="Arial" w:hAnsi="Arial" w:cs="Arial"/>
        </w:rPr>
        <w:t xml:space="preserve">, </w:t>
      </w:r>
      <w:proofErr w:type="spellStart"/>
      <w:r w:rsidRPr="7CE8F651">
        <w:rPr>
          <w:rFonts w:ascii="Arial" w:eastAsia="Arial" w:hAnsi="Arial" w:cs="Arial"/>
        </w:rPr>
        <w:t>Febin</w:t>
      </w:r>
      <w:proofErr w:type="spellEnd"/>
      <w:r w:rsidRPr="7CE8F651">
        <w:rPr>
          <w:rFonts w:ascii="Arial" w:eastAsia="Arial" w:hAnsi="Arial" w:cs="Arial"/>
        </w:rPr>
        <w:t xml:space="preserve"> </w:t>
      </w:r>
      <w:proofErr w:type="spellStart"/>
      <w:r w:rsidRPr="7CE8F651">
        <w:rPr>
          <w:rFonts w:ascii="Arial" w:eastAsia="Arial" w:hAnsi="Arial" w:cs="Arial"/>
        </w:rPr>
        <w:t>Chirayath</w:t>
      </w:r>
      <w:proofErr w:type="spellEnd"/>
      <w:r w:rsidRPr="7CE8F651">
        <w:rPr>
          <w:rFonts w:ascii="Arial" w:eastAsia="Arial" w:hAnsi="Arial" w:cs="Arial"/>
        </w:rPr>
        <w:t xml:space="preserve">, Susan </w:t>
      </w:r>
      <w:proofErr w:type="spellStart"/>
      <w:r w:rsidRPr="7CE8F651">
        <w:rPr>
          <w:rFonts w:ascii="Arial" w:eastAsia="Arial" w:hAnsi="Arial" w:cs="Arial"/>
        </w:rPr>
        <w:t>Kalter</w:t>
      </w:r>
      <w:proofErr w:type="spellEnd"/>
      <w:r w:rsidRPr="7CE8F651">
        <w:rPr>
          <w:rFonts w:ascii="Arial" w:eastAsia="Arial" w:hAnsi="Arial" w:cs="Arial"/>
        </w:rPr>
        <w:t xml:space="preserve">, Mary Dyck, </w:t>
      </w:r>
      <w:proofErr w:type="spellStart"/>
      <w:r w:rsidRPr="7CE8F651">
        <w:rPr>
          <w:rFonts w:ascii="Arial" w:eastAsia="Arial" w:hAnsi="Arial" w:cs="Arial"/>
        </w:rPr>
        <w:t>Ui-Jeen</w:t>
      </w:r>
      <w:proofErr w:type="spellEnd"/>
      <w:r w:rsidRPr="7CE8F651">
        <w:rPr>
          <w:rFonts w:ascii="Arial" w:eastAsia="Arial" w:hAnsi="Arial" w:cs="Arial"/>
        </w:rPr>
        <w:t xml:space="preserve"> Yu, Cassandra Mattoon, Marie Dawson</w:t>
      </w:r>
    </w:p>
    <w:p w14:paraId="6E631661" w14:textId="11F1409E" w:rsidR="7CE8F651" w:rsidRDefault="7CE8F651">
      <w:r w:rsidRPr="7CE8F651">
        <w:rPr>
          <w:rFonts w:ascii="Arial" w:eastAsia="Arial" w:hAnsi="Arial" w:cs="Arial"/>
        </w:rPr>
        <w:t xml:space="preserve">Not Present: Hannah </w:t>
      </w:r>
      <w:proofErr w:type="spellStart"/>
      <w:r w:rsidRPr="7CE8F651">
        <w:rPr>
          <w:rFonts w:ascii="Arial" w:eastAsia="Arial" w:hAnsi="Arial" w:cs="Arial"/>
        </w:rPr>
        <w:t>Picciola</w:t>
      </w:r>
      <w:proofErr w:type="spellEnd"/>
      <w:r w:rsidRPr="7CE8F651">
        <w:rPr>
          <w:rFonts w:ascii="Arial" w:eastAsia="Arial" w:hAnsi="Arial" w:cs="Arial"/>
        </w:rPr>
        <w:t xml:space="preserve"> </w:t>
      </w:r>
    </w:p>
    <w:p w14:paraId="753BB545" w14:textId="4EFB859E" w:rsidR="7CE8F651" w:rsidRDefault="7CE8F651">
      <w:r w:rsidRPr="7CE8F651">
        <w:rPr>
          <w:rFonts w:ascii="Arial" w:eastAsia="Arial" w:hAnsi="Arial" w:cs="Arial"/>
        </w:rPr>
        <w:t xml:space="preserve">Call to order: 6:03 </w:t>
      </w:r>
    </w:p>
    <w:p w14:paraId="7C2F3E2A" w14:textId="360BC153" w:rsidR="7CE8F651" w:rsidRDefault="7CE8F651">
      <w:r w:rsidRPr="7CE8F651">
        <w:rPr>
          <w:rFonts w:ascii="Arial" w:eastAsia="Arial" w:hAnsi="Arial" w:cs="Arial"/>
        </w:rPr>
        <w:t xml:space="preserve">Approval of minutes: Approved 3/08/17 minutes were approved. 3/29/17 minutes were approved. </w:t>
      </w:r>
    </w:p>
    <w:p w14:paraId="4F21A1FD" w14:textId="305949CB" w:rsidR="7CE8F651" w:rsidRDefault="7CE8F651">
      <w:r>
        <w:br/>
      </w:r>
      <w:r w:rsidRPr="7CE8F651">
        <w:rPr>
          <w:rFonts w:ascii="Arial" w:eastAsia="Arial" w:hAnsi="Arial" w:cs="Arial"/>
          <w:b/>
          <w:bCs/>
        </w:rPr>
        <w:t>1.8 Integrity in Research and Scholarly Activities</w:t>
      </w:r>
    </w:p>
    <w:p w14:paraId="4FAD95D1" w14:textId="63C6FBF3" w:rsidR="002F2C04" w:rsidRDefault="002F2C04">
      <w:pPr>
        <w:rPr>
          <w:rFonts w:ascii="Arial" w:eastAsia="Arial" w:hAnsi="Arial" w:cs="Arial"/>
        </w:rPr>
      </w:pPr>
      <w:r>
        <w:rPr>
          <w:rFonts w:ascii="Arial" w:eastAsia="Arial" w:hAnsi="Arial" w:cs="Arial"/>
        </w:rPr>
        <w:t>Committee agreed to add a new paragraph under II.A Coverage. The new paragraph reads:</w:t>
      </w:r>
    </w:p>
    <w:p w14:paraId="0131CCA0" w14:textId="77777777" w:rsidR="001576F3" w:rsidRDefault="001576F3">
      <w:pPr>
        <w:rPr>
          <w:rFonts w:ascii="Arial" w:eastAsia="Arial" w:hAnsi="Arial" w:cs="Arial"/>
        </w:rPr>
      </w:pPr>
    </w:p>
    <w:p w14:paraId="3D3868CB" w14:textId="67C8109A" w:rsidR="7CE8F651" w:rsidRDefault="7CE8F651">
      <w:bookmarkStart w:id="0" w:name="_GoBack"/>
      <w:bookmarkEnd w:id="0"/>
      <w:r w:rsidRPr="7CE8F651">
        <w:rPr>
          <w:rFonts w:ascii="Arial" w:eastAsia="Arial" w:hAnsi="Arial" w:cs="Arial"/>
        </w:rPr>
        <w:t>This academic integrity policy does not apply to the following cases:</w:t>
      </w:r>
    </w:p>
    <w:p w14:paraId="1536BC43" w14:textId="4A0EF63B" w:rsidR="7CE8F651" w:rsidRDefault="7CE8F651" w:rsidP="7CE8F651">
      <w:pPr>
        <w:pStyle w:val="ListParagraph"/>
        <w:numPr>
          <w:ilvl w:val="0"/>
          <w:numId w:val="1"/>
        </w:numPr>
        <w:rPr>
          <w:rFonts w:eastAsiaTheme="minorEastAsia"/>
        </w:rPr>
      </w:pPr>
      <w:r w:rsidRPr="7CE8F651">
        <w:rPr>
          <w:rFonts w:ascii="Arial" w:eastAsia="Arial" w:hAnsi="Arial" w:cs="Arial"/>
        </w:rPr>
        <w:t xml:space="preserve">Faculty complaints in promotion, tenure, or performance evaluation matters, where a faculty member “believes that there has been a misinterpretation, </w:t>
      </w:r>
      <w:proofErr w:type="spellStart"/>
      <w:r w:rsidRPr="7CE8F651">
        <w:rPr>
          <w:rFonts w:ascii="Arial" w:eastAsia="Arial" w:hAnsi="Arial" w:cs="Arial"/>
        </w:rPr>
        <w:t>misjudgement</w:t>
      </w:r>
      <w:proofErr w:type="spellEnd"/>
      <w:r w:rsidRPr="7CE8F651">
        <w:rPr>
          <w:rFonts w:ascii="Arial" w:eastAsia="Arial" w:hAnsi="Arial" w:cs="Arial"/>
        </w:rPr>
        <w:t xml:space="preserve">, or procedural error relation to a promotion, tenure, or performance evaluation recommendation </w:t>
      </w:r>
      <w:r w:rsidR="002F2C04">
        <w:rPr>
          <w:rFonts w:ascii="Arial" w:eastAsia="Arial" w:hAnsi="Arial" w:cs="Arial"/>
        </w:rPr>
        <w:t xml:space="preserve">concerning the faculty member.” </w:t>
      </w:r>
      <w:r w:rsidRPr="7CE8F651">
        <w:rPr>
          <w:rFonts w:ascii="Arial" w:eastAsia="Arial" w:hAnsi="Arial" w:cs="Arial"/>
        </w:rPr>
        <w:t>ASPT, XIII.E.</w:t>
      </w:r>
    </w:p>
    <w:p w14:paraId="57DA58EB" w14:textId="3DFA3785" w:rsidR="7CE8F651" w:rsidRDefault="7CE8F651" w:rsidP="7CE8F651">
      <w:pPr>
        <w:pStyle w:val="ListParagraph"/>
        <w:numPr>
          <w:ilvl w:val="0"/>
          <w:numId w:val="1"/>
        </w:numPr>
        <w:rPr>
          <w:rFonts w:eastAsiaTheme="minorEastAsia"/>
        </w:rPr>
      </w:pPr>
      <w:r w:rsidRPr="7CE8F651">
        <w:rPr>
          <w:rFonts w:ascii="Arial" w:eastAsia="Arial" w:hAnsi="Arial" w:cs="Arial"/>
        </w:rPr>
        <w:t>Cases involving the “dismissal of a tenured faculty member.” ASPT, III.E.</w:t>
      </w:r>
    </w:p>
    <w:p w14:paraId="58BBC078" w14:textId="68B51E68" w:rsidR="7CE8F651" w:rsidRDefault="7CE8F651" w:rsidP="7CE8F651">
      <w:pPr>
        <w:pStyle w:val="ListParagraph"/>
        <w:numPr>
          <w:ilvl w:val="0"/>
          <w:numId w:val="1"/>
        </w:numPr>
        <w:rPr>
          <w:rFonts w:eastAsiaTheme="minorEastAsia"/>
        </w:rPr>
      </w:pPr>
      <w:r w:rsidRPr="7CE8F651">
        <w:rPr>
          <w:rFonts w:ascii="Arial" w:eastAsia="Arial" w:hAnsi="Arial" w:cs="Arial"/>
        </w:rPr>
        <w:t>Complaints alleging an ethics or academic freedom violation or grie</w:t>
      </w:r>
      <w:r w:rsidR="002F2C04">
        <w:rPr>
          <w:rFonts w:ascii="Arial" w:eastAsia="Arial" w:hAnsi="Arial" w:cs="Arial"/>
        </w:rPr>
        <w:t>vances. University policy 3.3.8</w:t>
      </w:r>
      <w:r w:rsidRPr="7CE8F651">
        <w:rPr>
          <w:rFonts w:ascii="Arial" w:eastAsia="Arial" w:hAnsi="Arial" w:cs="Arial"/>
        </w:rPr>
        <w:t xml:space="preserve"> Faculty Academic Freedom, Ethics and Grievance. </w:t>
      </w:r>
    </w:p>
    <w:p w14:paraId="3455B959" w14:textId="247F37B3" w:rsidR="7CE8F651" w:rsidRDefault="7CE8F651" w:rsidP="7CE8F651">
      <w:pPr>
        <w:pStyle w:val="ListParagraph"/>
        <w:numPr>
          <w:ilvl w:val="0"/>
          <w:numId w:val="1"/>
        </w:numPr>
        <w:rPr>
          <w:rFonts w:eastAsiaTheme="minorEastAsia"/>
        </w:rPr>
      </w:pPr>
      <w:r w:rsidRPr="7CE8F651">
        <w:rPr>
          <w:rFonts w:ascii="Arial" w:eastAsia="Arial" w:hAnsi="Arial" w:cs="Arial"/>
        </w:rPr>
        <w:t xml:space="preserve">All cases alleging violations of University Policy 1.2.1 Anti-Harassment &amp; Non-Discrimination. </w:t>
      </w:r>
    </w:p>
    <w:p w14:paraId="7B3B04E1" w14:textId="1320AE36" w:rsidR="7CE8F651" w:rsidRDefault="7CE8F651" w:rsidP="7CE8F651">
      <w:pPr>
        <w:pStyle w:val="ListParagraph"/>
        <w:numPr>
          <w:ilvl w:val="0"/>
          <w:numId w:val="1"/>
        </w:numPr>
        <w:rPr>
          <w:rFonts w:eastAsiaTheme="minorEastAsia"/>
        </w:rPr>
      </w:pPr>
      <w:r w:rsidRPr="7CE8F651">
        <w:rPr>
          <w:rFonts w:ascii="Arial" w:eastAsia="Arial" w:hAnsi="Arial" w:cs="Arial"/>
        </w:rPr>
        <w:t>Matters of academic dishonesty by stu</w:t>
      </w:r>
      <w:r w:rsidR="002F2C04">
        <w:rPr>
          <w:rFonts w:ascii="Arial" w:eastAsia="Arial" w:hAnsi="Arial" w:cs="Arial"/>
        </w:rPr>
        <w:t xml:space="preserve">dents in classroom activities. </w:t>
      </w:r>
      <w:r w:rsidRPr="7CE8F651">
        <w:rPr>
          <w:rFonts w:ascii="Arial" w:eastAsia="Arial" w:hAnsi="Arial" w:cs="Arial"/>
        </w:rPr>
        <w:t>SCCR</w:t>
      </w:r>
      <w:r w:rsidR="002F2C04">
        <w:rPr>
          <w:rFonts w:ascii="Arial" w:eastAsia="Arial" w:hAnsi="Arial" w:cs="Arial"/>
        </w:rPr>
        <w:t xml:space="preserve"> VIA.1.</w:t>
      </w:r>
    </w:p>
    <w:p w14:paraId="71C33BA4" w14:textId="77777777" w:rsidR="005E4A59" w:rsidRDefault="005E4A59">
      <w:pPr>
        <w:rPr>
          <w:rFonts w:ascii="Arial" w:eastAsia="Arial" w:hAnsi="Arial" w:cs="Arial"/>
        </w:rPr>
      </w:pPr>
    </w:p>
    <w:p w14:paraId="03F191E7" w14:textId="5A585086" w:rsidR="005E4A59" w:rsidRDefault="005E4A59">
      <w:pPr>
        <w:rPr>
          <w:rFonts w:ascii="Arial" w:eastAsia="Arial" w:hAnsi="Arial" w:cs="Arial"/>
        </w:rPr>
      </w:pPr>
      <w:r>
        <w:rPr>
          <w:rFonts w:ascii="Arial" w:eastAsia="Arial" w:hAnsi="Arial" w:cs="Arial"/>
        </w:rPr>
        <w:t>Committee members discussed the issue of malicious intent and agreed upon the following paragraph to replace current language in Policy 1.8 II.F.</w:t>
      </w:r>
    </w:p>
    <w:p w14:paraId="0396A33C" w14:textId="77777777" w:rsidR="005E4A59" w:rsidRDefault="005E4A59">
      <w:pPr>
        <w:rPr>
          <w:rFonts w:ascii="Times" w:eastAsia="Times" w:hAnsi="Times" w:cs="Times"/>
        </w:rPr>
      </w:pPr>
    </w:p>
    <w:p w14:paraId="45DD01A6" w14:textId="77777777" w:rsidR="005E4A59" w:rsidRDefault="005E4A59" w:rsidP="005E4A59">
      <w:r>
        <w:t xml:space="preserve">F.  </w:t>
      </w:r>
      <w:r w:rsidRPr="0040103B">
        <w:rPr>
          <w:b/>
        </w:rPr>
        <w:t>Malicious Charges</w:t>
      </w:r>
      <w:r>
        <w:t xml:space="preserve"> - Bringing unfounded charges motivated by malice constitutes a violation of the purposes and standards for ethical conduct that underlie this document. If the Inquiry Team or the Investigation Panel believe the making of the original charges or the testimony of any person may have been maliciously motivated, they shall refer their concern to the </w:t>
      </w:r>
      <w:r w:rsidRPr="00433BFE">
        <w:t xml:space="preserve">Faculty Academic Freedom, Ethics, and </w:t>
      </w:r>
      <w:r w:rsidRPr="00433BFE">
        <w:lastRenderedPageBreak/>
        <w:t>Grievance Committee ("AFEGC")</w:t>
      </w:r>
      <w:r>
        <w:t xml:space="preserve"> at the time they file their report on the original misconduct charge to the Dean or appropriate supervisor and to the AIO. The person originally charged with misconduct may also communicate concern to AFEGC that charges in their case may have been maliciously motivated.  AFEGC will investigate any charges of malice </w:t>
      </w:r>
      <w:proofErr w:type="gramStart"/>
      <w:r>
        <w:t>according to</w:t>
      </w:r>
      <w:proofErr w:type="gramEnd"/>
      <w:r>
        <w:t xml:space="preserve"> its regular Hearing Panel procedures. If it determines that original charges of misconduct against one person were maliciously motivated by another, that finding will be communicated to the Provost with its recommendations. The Provost will enter a finding of malicious conduct in the person’s personnel file and communicate the finding to the person’s Dean and Chair, Director, or appropriate unit supervisor. Such finding may be the basis for disciplinary action or other personnel decisions in accordance with University rules and regulations. </w:t>
      </w:r>
    </w:p>
    <w:p w14:paraId="30B78CCF" w14:textId="756BDBD2" w:rsidR="7CE8F651" w:rsidRDefault="7CE8F651">
      <w:r>
        <w:br/>
      </w:r>
    </w:p>
    <w:p w14:paraId="0EBF513A" w14:textId="47B868B8" w:rsidR="7CE8F651" w:rsidRDefault="7CE8F651">
      <w:r w:rsidRPr="7CE8F651">
        <w:rPr>
          <w:rFonts w:ascii="Arial" w:eastAsia="Arial" w:hAnsi="Arial" w:cs="Arial"/>
        </w:rPr>
        <w:t>Adjourned: 6:57</w:t>
      </w:r>
    </w:p>
    <w:p w14:paraId="6C95AC48" w14:textId="2EA0E175" w:rsidR="7CE8F651" w:rsidRDefault="7CE8F651">
      <w:r w:rsidRPr="7CE8F651">
        <w:rPr>
          <w:rFonts w:ascii="Arial" w:eastAsia="Arial" w:hAnsi="Arial" w:cs="Arial"/>
        </w:rPr>
        <w:t xml:space="preserve">Submitted by: </w:t>
      </w:r>
      <w:proofErr w:type="spellStart"/>
      <w:r w:rsidRPr="7CE8F651">
        <w:rPr>
          <w:rFonts w:ascii="Arial" w:eastAsia="Arial" w:hAnsi="Arial" w:cs="Arial"/>
        </w:rPr>
        <w:t>Febin</w:t>
      </w:r>
      <w:proofErr w:type="spellEnd"/>
      <w:r w:rsidRPr="7CE8F651">
        <w:rPr>
          <w:rFonts w:ascii="Arial" w:eastAsia="Arial" w:hAnsi="Arial" w:cs="Arial"/>
        </w:rPr>
        <w:t xml:space="preserve"> </w:t>
      </w:r>
      <w:proofErr w:type="spellStart"/>
      <w:r w:rsidRPr="7CE8F651">
        <w:rPr>
          <w:rFonts w:ascii="Arial" w:eastAsia="Arial" w:hAnsi="Arial" w:cs="Arial"/>
        </w:rPr>
        <w:t>Chirayath</w:t>
      </w:r>
      <w:proofErr w:type="spellEnd"/>
    </w:p>
    <w:p w14:paraId="32BCDE3B" w14:textId="5EEB93D2" w:rsidR="7CE8F651" w:rsidRDefault="7CE8F651" w:rsidP="7CE8F651">
      <w:pPr>
        <w:rPr>
          <w:rFonts w:ascii="Times" w:eastAsia="Times" w:hAnsi="Times" w:cs="Times"/>
        </w:rPr>
      </w:pPr>
    </w:p>
    <w:p w14:paraId="5076F0CC" w14:textId="15500870" w:rsidR="7CE8F651" w:rsidRDefault="7CE8F651" w:rsidP="7CE8F651">
      <w:pPr>
        <w:rPr>
          <w:rFonts w:ascii="Times" w:eastAsia="Times" w:hAnsi="Times" w:cs="Times"/>
        </w:rPr>
      </w:pPr>
    </w:p>
    <w:p w14:paraId="2D77D585" w14:textId="1F780C0A" w:rsidR="7CE8F651" w:rsidRDefault="7CE8F651" w:rsidP="7CE8F651">
      <w:pPr>
        <w:rPr>
          <w:rFonts w:ascii="Times" w:eastAsia="Times" w:hAnsi="Times" w:cs="Times"/>
        </w:rPr>
      </w:pPr>
    </w:p>
    <w:p w14:paraId="0CBDADF2" w14:textId="04509D06" w:rsidR="7CE8F651" w:rsidRDefault="7CE8F651" w:rsidP="7CE8F651">
      <w:pPr>
        <w:rPr>
          <w:rFonts w:ascii="Times" w:eastAsia="Times" w:hAnsi="Times" w:cs="Times"/>
        </w:rPr>
      </w:pPr>
    </w:p>
    <w:p w14:paraId="19949C3D" w14:textId="03E2969E" w:rsidR="7CE8F651" w:rsidRDefault="7CE8F651" w:rsidP="7CE8F651">
      <w:pPr>
        <w:rPr>
          <w:rFonts w:ascii="Times" w:eastAsia="Times" w:hAnsi="Times" w:cs="Times"/>
        </w:rPr>
      </w:pPr>
    </w:p>
    <w:p w14:paraId="24C2F4A9" w14:textId="20B0BDB3" w:rsidR="7CE8F651" w:rsidRDefault="7CE8F651" w:rsidP="7CE8F651">
      <w:pPr>
        <w:rPr>
          <w:rFonts w:ascii="Times" w:eastAsia="Times" w:hAnsi="Times" w:cs="Times"/>
        </w:rPr>
      </w:pPr>
    </w:p>
    <w:p w14:paraId="22B06A7E" w14:textId="7E26B469" w:rsidR="7CE8F651" w:rsidRDefault="7CE8F651" w:rsidP="7CE8F651">
      <w:pPr>
        <w:rPr>
          <w:rFonts w:ascii="Times" w:eastAsia="Times" w:hAnsi="Times" w:cs="Times"/>
        </w:rPr>
      </w:pPr>
    </w:p>
    <w:p w14:paraId="15522B1E" w14:textId="433C27FE" w:rsidR="7CE8F651" w:rsidRDefault="7CE8F651" w:rsidP="7CE8F651">
      <w:pPr>
        <w:rPr>
          <w:rFonts w:ascii="Times" w:eastAsia="Times" w:hAnsi="Times" w:cs="Times"/>
        </w:rPr>
      </w:pPr>
    </w:p>
    <w:p w14:paraId="2A0F8C05" w14:textId="48115FD4" w:rsidR="7CE8F651" w:rsidRDefault="7CE8F651" w:rsidP="7CE8F651">
      <w:pPr>
        <w:rPr>
          <w:rFonts w:ascii="Times" w:eastAsia="Times" w:hAnsi="Times" w:cs="Times"/>
        </w:rPr>
      </w:pPr>
    </w:p>
    <w:p w14:paraId="299743A0" w14:textId="259AA288" w:rsidR="7CE8F651" w:rsidRDefault="7CE8F651" w:rsidP="7CE8F651">
      <w:pPr>
        <w:rPr>
          <w:rFonts w:ascii="Times" w:eastAsia="Times" w:hAnsi="Times" w:cs="Times"/>
        </w:rPr>
      </w:pPr>
    </w:p>
    <w:p w14:paraId="10A6B3B0" w14:textId="72628A87" w:rsidR="7CE8F651" w:rsidRDefault="7CE8F651" w:rsidP="7CE8F651">
      <w:pPr>
        <w:rPr>
          <w:rFonts w:ascii="Times" w:eastAsia="Times" w:hAnsi="Times" w:cs="Times"/>
        </w:rPr>
      </w:pPr>
    </w:p>
    <w:p w14:paraId="08FABE1E" w14:textId="77363189" w:rsidR="7CE8F651" w:rsidRDefault="7CE8F651" w:rsidP="7CE8F651">
      <w:pPr>
        <w:rPr>
          <w:rFonts w:ascii="Times" w:eastAsia="Times" w:hAnsi="Times" w:cs="Times"/>
        </w:rPr>
      </w:pPr>
    </w:p>
    <w:p w14:paraId="0ACA6886" w14:textId="2E72EC0C" w:rsidR="7CE8F651" w:rsidRDefault="7CE8F651" w:rsidP="7CE8F651">
      <w:pPr>
        <w:rPr>
          <w:rFonts w:ascii="Times" w:eastAsia="Times" w:hAnsi="Times" w:cs="Times"/>
        </w:rPr>
      </w:pPr>
    </w:p>
    <w:p w14:paraId="2A363567" w14:textId="0634E19A" w:rsidR="7CE8F651" w:rsidRDefault="7CE8F651" w:rsidP="7CE8F651">
      <w:pPr>
        <w:rPr>
          <w:rFonts w:ascii="Times" w:eastAsia="Times" w:hAnsi="Times" w:cs="Times"/>
        </w:rPr>
      </w:pPr>
    </w:p>
    <w:p w14:paraId="2C2D6F27" w14:textId="7B3302EA" w:rsidR="7CE8F651" w:rsidRDefault="7CE8F651" w:rsidP="7CE8F651">
      <w:pPr>
        <w:rPr>
          <w:rFonts w:ascii="Times" w:eastAsia="Times" w:hAnsi="Times" w:cs="Times"/>
        </w:rPr>
      </w:pPr>
    </w:p>
    <w:p w14:paraId="0CBFD469" w14:textId="4F1A6A9B" w:rsidR="7CE8F651" w:rsidRDefault="7CE8F651" w:rsidP="7CE8F651">
      <w:pPr>
        <w:rPr>
          <w:rFonts w:ascii="Times" w:eastAsia="Times" w:hAnsi="Times" w:cs="Times"/>
        </w:rPr>
      </w:pPr>
    </w:p>
    <w:p w14:paraId="77BA76D8" w14:textId="0932D777" w:rsidR="7CE8F651" w:rsidRDefault="7CE8F651" w:rsidP="7CE8F651">
      <w:pPr>
        <w:rPr>
          <w:rFonts w:ascii="Times" w:eastAsia="Times" w:hAnsi="Times" w:cs="Times"/>
        </w:rPr>
      </w:pPr>
    </w:p>
    <w:p w14:paraId="355679FA" w14:textId="68B79AB5" w:rsidR="7CE8F651" w:rsidRDefault="7CE8F651" w:rsidP="7CE8F651">
      <w:pPr>
        <w:rPr>
          <w:rFonts w:ascii="Times" w:eastAsia="Times" w:hAnsi="Times" w:cs="Times"/>
        </w:rPr>
      </w:pPr>
    </w:p>
    <w:sectPr w:rsidR="7CE8F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D89"/>
    <w:multiLevelType w:val="hybridMultilevel"/>
    <w:tmpl w:val="52E804A4"/>
    <w:lvl w:ilvl="0" w:tplc="409C225E">
      <w:start w:val="1"/>
      <w:numFmt w:val="decimal"/>
      <w:lvlText w:val="%1."/>
      <w:lvlJc w:val="left"/>
      <w:pPr>
        <w:ind w:left="720" w:hanging="360"/>
      </w:pPr>
    </w:lvl>
    <w:lvl w:ilvl="1" w:tplc="F5F4488C">
      <w:start w:val="1"/>
      <w:numFmt w:val="lowerLetter"/>
      <w:lvlText w:val="%2."/>
      <w:lvlJc w:val="left"/>
      <w:pPr>
        <w:ind w:left="1440" w:hanging="360"/>
      </w:pPr>
    </w:lvl>
    <w:lvl w:ilvl="2" w:tplc="9B046C94">
      <w:start w:val="1"/>
      <w:numFmt w:val="lowerRoman"/>
      <w:lvlText w:val="%3."/>
      <w:lvlJc w:val="right"/>
      <w:pPr>
        <w:ind w:left="2160" w:hanging="180"/>
      </w:pPr>
    </w:lvl>
    <w:lvl w:ilvl="3" w:tplc="F1BC5956">
      <w:start w:val="1"/>
      <w:numFmt w:val="decimal"/>
      <w:lvlText w:val="%4."/>
      <w:lvlJc w:val="left"/>
      <w:pPr>
        <w:ind w:left="2880" w:hanging="360"/>
      </w:pPr>
    </w:lvl>
    <w:lvl w:ilvl="4" w:tplc="A9C6C5F2">
      <w:start w:val="1"/>
      <w:numFmt w:val="lowerLetter"/>
      <w:lvlText w:val="%5."/>
      <w:lvlJc w:val="left"/>
      <w:pPr>
        <w:ind w:left="3600" w:hanging="360"/>
      </w:pPr>
    </w:lvl>
    <w:lvl w:ilvl="5" w:tplc="60480898">
      <w:start w:val="1"/>
      <w:numFmt w:val="lowerRoman"/>
      <w:lvlText w:val="%6."/>
      <w:lvlJc w:val="right"/>
      <w:pPr>
        <w:ind w:left="4320" w:hanging="180"/>
      </w:pPr>
    </w:lvl>
    <w:lvl w:ilvl="6" w:tplc="2DA0D994">
      <w:start w:val="1"/>
      <w:numFmt w:val="decimal"/>
      <w:lvlText w:val="%7."/>
      <w:lvlJc w:val="left"/>
      <w:pPr>
        <w:ind w:left="5040" w:hanging="360"/>
      </w:pPr>
    </w:lvl>
    <w:lvl w:ilvl="7" w:tplc="965A6C18">
      <w:start w:val="1"/>
      <w:numFmt w:val="lowerLetter"/>
      <w:lvlText w:val="%8."/>
      <w:lvlJc w:val="left"/>
      <w:pPr>
        <w:ind w:left="5760" w:hanging="360"/>
      </w:pPr>
    </w:lvl>
    <w:lvl w:ilvl="8" w:tplc="6C30E62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E8F651"/>
    <w:rsid w:val="001576F3"/>
    <w:rsid w:val="002C6680"/>
    <w:rsid w:val="002F2C04"/>
    <w:rsid w:val="003814D5"/>
    <w:rsid w:val="005E4A59"/>
    <w:rsid w:val="00F56237"/>
    <w:rsid w:val="7CE8F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A986BBD-328F-477C-B8BA-F871BA8D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Chirayath, Febin</dc:creator>
  <cp:keywords/>
  <dc:description/>
  <cp:lastModifiedBy>Michaelene D. Cox</cp:lastModifiedBy>
  <cp:revision>6</cp:revision>
  <dcterms:created xsi:type="dcterms:W3CDTF">2017-04-27T22:39:00Z</dcterms:created>
  <dcterms:modified xsi:type="dcterms:W3CDTF">2017-04-27T22:59:00Z</dcterms:modified>
</cp:coreProperties>
</file>