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53EB8AD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177595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3E6F73E1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January 10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00CE4461" w:rsidR="00BE667A" w:rsidRPr="0036720F" w:rsidRDefault="00A56252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526ED4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0617F669" w:rsidR="00486DCE" w:rsidRPr="00526ED4" w:rsidRDefault="00526ED4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26ED4">
        <w:rPr>
          <w:rFonts w:asciiTheme="majorHAnsi" w:eastAsia="Times New Roman" w:hAnsiTheme="majorHAnsi" w:cs="Times New Roman"/>
          <w:bCs/>
          <w:iCs/>
          <w:sz w:val="24"/>
          <w:szCs w:val="20"/>
        </w:rPr>
        <w:t>Academic Senate chairperson Martha Callison Horst called the meeting to order.</w:t>
      </w:r>
    </w:p>
    <w:p w14:paraId="6054DCC1" w14:textId="5C04D8FB" w:rsidR="00526ED4" w:rsidRDefault="00526ED4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5BFC5EF" w14:textId="7B1D2546" w:rsidR="00526ED4" w:rsidRPr="000F2513" w:rsidRDefault="00526ED4" w:rsidP="00526ED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Senator Horst: </w:t>
      </w:r>
      <w:r>
        <w:rPr>
          <w:rFonts w:ascii="Times New Roman" w:hAnsi="Times New Roman" w:cs="Times New Roman"/>
          <w:sz w:val="24"/>
          <w:szCs w:val="24"/>
        </w:rPr>
        <w:t xml:space="preserve">This meeting is being held electronically. </w:t>
      </w:r>
      <w:r w:rsidRPr="000823A6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Kinzy </w:t>
      </w:r>
      <w:r w:rsidRPr="000823A6">
        <w:rPr>
          <w:rFonts w:ascii="Times New Roman" w:hAnsi="Times New Roman" w:cs="Times New Roman"/>
          <w:sz w:val="24"/>
          <w:szCs w:val="24"/>
        </w:rPr>
        <w:t xml:space="preserve">has determined that </w:t>
      </w:r>
      <w:r>
        <w:rPr>
          <w:rFonts w:ascii="Times New Roman" w:hAnsi="Times New Roman" w:cs="Times New Roman"/>
          <w:sz w:val="24"/>
          <w:szCs w:val="24"/>
        </w:rPr>
        <w:t>at this time</w:t>
      </w:r>
      <w:r w:rsidR="00162E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while under the Governor’s </w:t>
      </w:r>
      <w:r w:rsidRPr="000823A6">
        <w:rPr>
          <w:rFonts w:ascii="Times New Roman" w:hAnsi="Times New Roman" w:cs="Times New Roman"/>
          <w:sz w:val="24"/>
          <w:szCs w:val="24"/>
        </w:rPr>
        <w:t>disaster declaration</w:t>
      </w:r>
      <w:r w:rsidR="00162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Pr="000823A6">
        <w:rPr>
          <w:rFonts w:ascii="Times New Roman" w:hAnsi="Times New Roman" w:cs="Times New Roman"/>
          <w:sz w:val="24"/>
          <w:szCs w:val="24"/>
        </w:rPr>
        <w:t>not prudent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3A6">
        <w:rPr>
          <w:rFonts w:ascii="Times New Roman" w:hAnsi="Times New Roman" w:cs="Times New Roman"/>
          <w:sz w:val="24"/>
          <w:szCs w:val="24"/>
        </w:rPr>
        <w:t xml:space="preserve"> practical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3A6">
        <w:rPr>
          <w:rFonts w:ascii="Times New Roman" w:hAnsi="Times New Roman" w:cs="Times New Roman"/>
          <w:sz w:val="24"/>
          <w:szCs w:val="24"/>
        </w:rPr>
        <w:t xml:space="preserve"> or feasible</w:t>
      </w:r>
      <w:r>
        <w:rPr>
          <w:rFonts w:ascii="Times New Roman" w:hAnsi="Times New Roman" w:cs="Times New Roman"/>
          <w:sz w:val="24"/>
          <w:szCs w:val="24"/>
        </w:rPr>
        <w:t xml:space="preserve"> to hold</w:t>
      </w:r>
      <w:r w:rsidRPr="000823A6">
        <w:rPr>
          <w:rFonts w:ascii="Times New Roman" w:hAnsi="Times New Roman" w:cs="Times New Roman"/>
          <w:sz w:val="24"/>
          <w:szCs w:val="24"/>
        </w:rPr>
        <w:t xml:space="preserve"> in person </w:t>
      </w:r>
      <w:r>
        <w:rPr>
          <w:rFonts w:ascii="Times New Roman" w:hAnsi="Times New Roman" w:cs="Times New Roman"/>
          <w:sz w:val="24"/>
          <w:szCs w:val="24"/>
        </w:rPr>
        <w:t xml:space="preserve">Open Meetings Act </w:t>
      </w:r>
      <w:r w:rsidRPr="000823A6">
        <w:rPr>
          <w:rFonts w:ascii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sz w:val="24"/>
          <w:szCs w:val="24"/>
        </w:rPr>
        <w:t>on campus</w:t>
      </w:r>
      <w:r w:rsidRPr="000823A6">
        <w:rPr>
          <w:rFonts w:ascii="Times New Roman" w:hAnsi="Times New Roman" w:cs="Times New Roman"/>
          <w:sz w:val="24"/>
          <w:szCs w:val="24"/>
        </w:rPr>
        <w:t>.</w:t>
      </w:r>
    </w:p>
    <w:p w14:paraId="4104F1DF" w14:textId="77777777" w:rsidR="00526ED4" w:rsidRDefault="00526ED4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32A5C450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172715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from </w:t>
      </w:r>
      <w:r w:rsidR="007F0BD3">
        <w:rPr>
          <w:rFonts w:asciiTheme="majorHAnsi" w:eastAsia="Times New Roman" w:hAnsiTheme="majorHAnsi" w:cs="Times New Roman"/>
          <w:b/>
          <w:i/>
          <w:sz w:val="24"/>
          <w:szCs w:val="20"/>
        </w:rPr>
        <w:t>11/08/21 and 11/29/21.</w:t>
      </w:r>
    </w:p>
    <w:p w14:paraId="1C68EFA1" w14:textId="2277C4FD" w:rsidR="00526ED4" w:rsidRPr="00526ED4" w:rsidRDefault="00526ED4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26ED4">
        <w:rPr>
          <w:rFonts w:asciiTheme="majorHAnsi" w:eastAsia="Times New Roman" w:hAnsiTheme="majorHAnsi" w:cs="Times New Roman"/>
          <w:bCs/>
          <w:iCs/>
          <w:sz w:val="24"/>
          <w:szCs w:val="20"/>
        </w:rPr>
        <w:t>Motion by Senator Cline, seconded by Senator Stewart, to approve the minutes. The motion was unanimously approved.</w:t>
      </w:r>
    </w:p>
    <w:p w14:paraId="3DC1F892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7E6C41DD" w14:textId="7D1E4124" w:rsidR="00526ED4" w:rsidRPr="00526ED4" w:rsidRDefault="00B471AD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Chairperson Horst introduced a r</w:t>
      </w:r>
      <w:r w:rsidR="00526ED4" w:rsidRPr="00526ED4">
        <w:rPr>
          <w:rFonts w:asciiTheme="majorHAnsi" w:eastAsia="Times New Roman" w:hAnsiTheme="majorHAnsi" w:cs="Times New Roman"/>
          <w:sz w:val="24"/>
          <w:szCs w:val="24"/>
        </w:rPr>
        <w:t xml:space="preserve">equest from the Library Committee chairperson 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>Marie Labonville</w:t>
      </w:r>
      <w:r w:rsidR="00F75E59">
        <w:rPr>
          <w:rFonts w:asciiTheme="majorHAnsi" w:eastAsia="Times New Roman" w:hAnsiTheme="majorHAnsi" w:cs="Times New Roman"/>
          <w:sz w:val="24"/>
          <w:szCs w:val="24"/>
        </w:rPr>
        <w:t>.  A member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 of her committee was just appointed a</w:t>
      </w:r>
      <w:r w:rsidR="00F75E59">
        <w:rPr>
          <w:rFonts w:asciiTheme="majorHAnsi" w:eastAsia="Times New Roman" w:hAnsiTheme="majorHAnsi" w:cs="Times New Roman"/>
          <w:sz w:val="24"/>
          <w:szCs w:val="24"/>
        </w:rPr>
        <w:t>s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 acting chair</w:t>
      </w:r>
      <w:r w:rsidR="00F75E59">
        <w:rPr>
          <w:rFonts w:asciiTheme="majorHAnsi" w:eastAsia="Times New Roman" w:hAnsiTheme="majorHAnsi" w:cs="Times New Roman"/>
          <w:sz w:val="24"/>
          <w:szCs w:val="24"/>
        </w:rPr>
        <w:t xml:space="preserve"> for the spring semester.  This faculty member wishes to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 remain on the </w:t>
      </w:r>
      <w:r w:rsidR="00870222">
        <w:rPr>
          <w:rFonts w:asciiTheme="majorHAnsi" w:eastAsia="Times New Roman" w:hAnsiTheme="majorHAnsi" w:cs="Times New Roman"/>
          <w:sz w:val="24"/>
          <w:szCs w:val="24"/>
        </w:rPr>
        <w:t>Library C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ommittee. </w:t>
      </w:r>
      <w:r w:rsidR="00057DE8">
        <w:rPr>
          <w:rFonts w:asciiTheme="majorHAnsi" w:eastAsia="Times New Roman" w:hAnsiTheme="majorHAnsi" w:cs="Times New Roman"/>
          <w:sz w:val="24"/>
          <w:szCs w:val="24"/>
        </w:rPr>
        <w:t>By a unanimous roll call vote, t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he Executive Committee granted </w:t>
      </w:r>
      <w:r w:rsidR="00870222">
        <w:rPr>
          <w:rFonts w:asciiTheme="majorHAnsi" w:eastAsia="Times New Roman" w:hAnsiTheme="majorHAnsi" w:cs="Times New Roman"/>
          <w:sz w:val="24"/>
          <w:szCs w:val="24"/>
        </w:rPr>
        <w:t>an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 exceptio</w:t>
      </w:r>
      <w:r w:rsidR="00057DE8">
        <w:rPr>
          <w:rFonts w:asciiTheme="majorHAnsi" w:eastAsia="Times New Roman" w:hAnsiTheme="majorHAnsi" w:cs="Times New Roman"/>
          <w:sz w:val="24"/>
          <w:szCs w:val="24"/>
        </w:rPr>
        <w:t>n</w:t>
      </w:r>
      <w:r w:rsidR="00526E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70222">
        <w:rPr>
          <w:rFonts w:asciiTheme="majorHAnsi" w:eastAsia="Times New Roman" w:hAnsiTheme="majorHAnsi" w:cs="Times New Roman"/>
          <w:sz w:val="24"/>
          <w:szCs w:val="24"/>
        </w:rPr>
        <w:t xml:space="preserve">to allow a chair to serve in this faculty </w:t>
      </w:r>
      <w:r w:rsidR="004F6ED6">
        <w:rPr>
          <w:rFonts w:asciiTheme="majorHAnsi" w:eastAsia="Times New Roman" w:hAnsiTheme="majorHAnsi" w:cs="Times New Roman"/>
          <w:sz w:val="24"/>
          <w:szCs w:val="24"/>
        </w:rPr>
        <w:t xml:space="preserve">committee seat </w:t>
      </w:r>
      <w:r w:rsidR="00057DE8">
        <w:rPr>
          <w:rFonts w:asciiTheme="majorHAnsi" w:eastAsia="Times New Roman" w:hAnsiTheme="majorHAnsi" w:cs="Times New Roman"/>
          <w:sz w:val="24"/>
          <w:szCs w:val="24"/>
        </w:rPr>
        <w:t xml:space="preserve">for the spring semester only.  The </w:t>
      </w:r>
      <w:r w:rsidR="004C17F5">
        <w:rPr>
          <w:rFonts w:asciiTheme="majorHAnsi" w:eastAsia="Times New Roman" w:hAnsiTheme="majorHAnsi" w:cs="Times New Roman"/>
          <w:sz w:val="24"/>
          <w:szCs w:val="24"/>
        </w:rPr>
        <w:t>Faculty Caucus Executive committee requested that the faculty member step off of the external committee if the</w:t>
      </w:r>
      <w:r w:rsidR="00241855">
        <w:rPr>
          <w:rFonts w:asciiTheme="majorHAnsi" w:eastAsia="Times New Roman" w:hAnsiTheme="majorHAnsi" w:cs="Times New Roman"/>
          <w:sz w:val="24"/>
          <w:szCs w:val="24"/>
        </w:rPr>
        <w:t>y continue as an acting chair next semester.</w:t>
      </w:r>
    </w:p>
    <w:p w14:paraId="2EB35C56" w14:textId="77777777" w:rsidR="00241855" w:rsidRDefault="00241855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3677D857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08F83E39" w14:textId="77777777" w:rsidR="00241855" w:rsidRPr="0036720F" w:rsidRDefault="00241855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75BF2B00" w14:textId="2C1F3B94" w:rsidR="002D6A51" w:rsidRDefault="00A84094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A8409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12.09.21.04 ASPT REVIEW Appendix I</w:t>
      </w:r>
    </w:p>
    <w:p w14:paraId="5EECE0E9" w14:textId="67419606" w:rsidR="00B235E6" w:rsidRDefault="00F13A28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 w:rsidRPr="00B235E6">
        <w:rPr>
          <w:rFonts w:asciiTheme="majorHAnsi" w:eastAsia="Times New Roman" w:hAnsiTheme="majorHAnsi" w:cs="Times New Roman"/>
          <w:sz w:val="24"/>
          <w:szCs w:val="24"/>
        </w:rPr>
        <w:t xml:space="preserve">Chairperson Horst introduced the new </w:t>
      </w:r>
      <w:r w:rsidR="00B235E6">
        <w:rPr>
          <w:rFonts w:asciiTheme="majorHAnsi" w:eastAsia="Times New Roman" w:hAnsiTheme="majorHAnsi" w:cs="Times New Roman"/>
          <w:sz w:val="24"/>
          <w:szCs w:val="24"/>
        </w:rPr>
        <w:t xml:space="preserve">full </w:t>
      </w:r>
      <w:r w:rsidR="00B235E6" w:rsidRPr="00B235E6">
        <w:rPr>
          <w:rFonts w:asciiTheme="majorHAnsi" w:eastAsia="Times New Roman" w:hAnsiTheme="majorHAnsi" w:cs="Times New Roman"/>
          <w:sz w:val="24"/>
          <w:szCs w:val="24"/>
        </w:rPr>
        <w:t>markup</w:t>
      </w:r>
      <w:r w:rsidRPr="00B235E6">
        <w:rPr>
          <w:rFonts w:asciiTheme="majorHAnsi" w:eastAsia="Times New Roman" w:hAnsiTheme="majorHAnsi" w:cs="Times New Roman"/>
          <w:sz w:val="24"/>
          <w:szCs w:val="24"/>
        </w:rPr>
        <w:t xml:space="preserve"> of Appendix I (ASPT calendar)</w:t>
      </w:r>
      <w:r w:rsidR="00B471AD">
        <w:rPr>
          <w:rFonts w:asciiTheme="majorHAnsi" w:eastAsia="Times New Roman" w:hAnsiTheme="majorHAnsi" w:cs="Times New Roman"/>
          <w:sz w:val="24"/>
          <w:szCs w:val="24"/>
        </w:rPr>
        <w:t>.</w:t>
      </w:r>
      <w:r w:rsidR="00B235E6">
        <w:rPr>
          <w:rFonts w:asciiTheme="majorHAnsi" w:eastAsia="Times New Roman" w:hAnsiTheme="majorHAnsi" w:cs="Times New Roman"/>
          <w:sz w:val="24"/>
          <w:szCs w:val="24"/>
        </w:rPr>
        <w:t xml:space="preserve"> The summary of the proposed ASPT calendar revisions </w:t>
      </w:r>
      <w:r w:rsidR="004F6ED6">
        <w:rPr>
          <w:rFonts w:asciiTheme="majorHAnsi" w:eastAsia="Times New Roman" w:hAnsiTheme="majorHAnsi" w:cs="Times New Roman"/>
          <w:sz w:val="24"/>
          <w:szCs w:val="24"/>
        </w:rPr>
        <w:t>was</w:t>
      </w:r>
      <w:r w:rsidR="00B235E6">
        <w:rPr>
          <w:rFonts w:asciiTheme="majorHAnsi" w:eastAsia="Times New Roman" w:hAnsiTheme="majorHAnsi" w:cs="Times New Roman"/>
          <w:sz w:val="24"/>
          <w:szCs w:val="24"/>
        </w:rPr>
        <w:t xml:space="preserve"> discussed at the last </w:t>
      </w:r>
      <w:r w:rsidR="004F6ED6">
        <w:rPr>
          <w:rFonts w:asciiTheme="majorHAnsi" w:eastAsia="Times New Roman" w:hAnsiTheme="majorHAnsi" w:cs="Times New Roman"/>
          <w:sz w:val="24"/>
          <w:szCs w:val="24"/>
        </w:rPr>
        <w:t>Faculty</w:t>
      </w:r>
      <w:r w:rsidR="00B471AD">
        <w:rPr>
          <w:rFonts w:asciiTheme="majorHAnsi" w:eastAsia="Times New Roman" w:hAnsiTheme="majorHAnsi" w:cs="Times New Roman"/>
          <w:sz w:val="24"/>
          <w:szCs w:val="24"/>
        </w:rPr>
        <w:t xml:space="preserve"> Caucus </w:t>
      </w:r>
      <w:r w:rsidR="00B235E6">
        <w:rPr>
          <w:rFonts w:asciiTheme="majorHAnsi" w:eastAsia="Times New Roman" w:hAnsiTheme="majorHAnsi" w:cs="Times New Roman"/>
          <w:sz w:val="24"/>
          <w:szCs w:val="24"/>
        </w:rPr>
        <w:t>meeting, but without this context</w:t>
      </w:r>
      <w:r w:rsidRPr="00B235E6">
        <w:rPr>
          <w:rFonts w:asciiTheme="majorHAnsi" w:eastAsia="Times New Roman" w:hAnsiTheme="majorHAnsi" w:cs="Times New Roman"/>
          <w:sz w:val="24"/>
          <w:szCs w:val="24"/>
        </w:rPr>
        <w:t>.</w:t>
      </w:r>
      <w:r w:rsidR="00B235E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53D5723" w14:textId="5AA148A4" w:rsidR="00F13A28" w:rsidRPr="00B235E6" w:rsidRDefault="00B235E6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After review of the full context of </w:t>
      </w:r>
      <w:r w:rsidR="003D41CB">
        <w:rPr>
          <w:rFonts w:asciiTheme="majorHAnsi" w:eastAsia="Times New Roman" w:hAnsiTheme="majorHAnsi" w:cs="Times New Roman"/>
          <w:sz w:val="24"/>
          <w:szCs w:val="24"/>
        </w:rPr>
        <w:t xml:space="preserve">proposed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revisions, Senator Cline had a question regarding section B start date of Nov 1 and how it coincides with areas of the campus that do formal eternal review. There was a discussion, and the question will be </w:t>
      </w:r>
      <w:r w:rsidR="003D41CB">
        <w:rPr>
          <w:rFonts w:asciiTheme="majorHAnsi" w:eastAsia="Times New Roman" w:hAnsiTheme="majorHAnsi" w:cs="Times New Roman"/>
          <w:sz w:val="24"/>
          <w:szCs w:val="24"/>
        </w:rPr>
        <w:t>forwarded to the URC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  <w:r w:rsidR="00F13A28" w:rsidRPr="00B235E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70845CA" w14:textId="00A2846E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6FB56F53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January 19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lastRenderedPageBreak/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67CA938D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11/03/21</w:t>
      </w:r>
    </w:p>
    <w:p w14:paraId="1E795CE6" w14:textId="77777777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DEF8FA7" w14:textId="6D58CAA6" w:rsidR="007F0BD3" w:rsidRP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7F0BD3">
        <w:rPr>
          <w:rFonts w:ascii="Cambria" w:hAnsi="Cambria"/>
          <w:b/>
          <w:bCs/>
          <w:sz w:val="24"/>
          <w:szCs w:val="24"/>
          <w:u w:val="single"/>
        </w:rPr>
        <w:t xml:space="preserve">Assistant Vice President for Academic Administration </w:t>
      </w:r>
      <w:r w:rsidRPr="007F0BD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 xml:space="preserve">Search Committee election </w:t>
      </w:r>
    </w:p>
    <w:p w14:paraId="2A7EFA8A" w14:textId="4AB18E61" w:rsidR="007F0BD3" w:rsidRP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0BD3">
        <w:rPr>
          <w:rFonts w:asciiTheme="majorHAnsi" w:eastAsia="Times New Roman" w:hAnsiTheme="majorHAnsi" w:cs="Times New Roman"/>
          <w:sz w:val="24"/>
          <w:szCs w:val="24"/>
        </w:rPr>
        <w:t>Jack Glascock, COM</w:t>
      </w:r>
    </w:p>
    <w:p w14:paraId="023641B0" w14:textId="77777777" w:rsid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F0B2109" w14:textId="36080947" w:rsidR="007F0BD3" w:rsidRPr="007F0BD3" w:rsidRDefault="007F0BD3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7F0BD3">
        <w:rPr>
          <w:rFonts w:ascii="Cambria" w:hAnsi="Cambria"/>
          <w:b/>
          <w:bCs/>
          <w:sz w:val="24"/>
          <w:szCs w:val="24"/>
          <w:u w:val="single"/>
        </w:rPr>
        <w:t>Assistant Vice President for Student Success Search Committee election</w:t>
      </w:r>
    </w:p>
    <w:p w14:paraId="5BE6B5DC" w14:textId="18AFFE2D" w:rsidR="008E4F45" w:rsidRDefault="008E4F45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2B6BD25" w14:textId="77777777" w:rsidR="006627BC" w:rsidRDefault="006627B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1B8B20E" w14:textId="5A66CDD0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64051B29" w14:textId="4FF636AE" w:rsidR="0040170C" w:rsidRPr="0040170C" w:rsidRDefault="000837C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837CC">
        <w:rPr>
          <w:rFonts w:asciiTheme="majorHAnsi" w:eastAsia="Times New Roman" w:hAnsiTheme="majorHAnsi" w:cs="Times New Roman"/>
          <w:sz w:val="24"/>
          <w:szCs w:val="24"/>
        </w:rPr>
        <w:t>Jennine Harey-Northrop</w:t>
      </w:r>
      <w:r>
        <w:rPr>
          <w:rFonts w:asciiTheme="majorHAnsi" w:eastAsia="Times New Roman" w:hAnsiTheme="majorHAnsi" w:cs="Times New Roman"/>
          <w:sz w:val="24"/>
          <w:szCs w:val="24"/>
        </w:rPr>
        <w:t>, CSD,</w:t>
      </w:r>
      <w:r w:rsidR="0040170C" w:rsidRPr="0040170C">
        <w:rPr>
          <w:rFonts w:asciiTheme="majorHAnsi" w:eastAsia="Times New Roman" w:hAnsiTheme="majorHAnsi" w:cs="Times New Roman"/>
          <w:sz w:val="24"/>
          <w:szCs w:val="24"/>
        </w:rPr>
        <w:t xml:space="preserve"> (Qiliang He, HIS, 2020-2022)</w:t>
      </w:r>
    </w:p>
    <w:p w14:paraId="26E46A7D" w14:textId="77777777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486A0794" w14:textId="12C5C695" w:rsidR="002F7330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="002D6A51">
        <w:rPr>
          <w:rFonts w:asciiTheme="majorHAnsi" w:eastAsia="Times New Roman" w:hAnsiTheme="majorHAnsi" w:cs="Times New Roman"/>
          <w:szCs w:val="18"/>
        </w:rPr>
        <w:t xml:space="preserve">Guang Jin </w:t>
      </w:r>
      <w:r w:rsidR="002F7330" w:rsidRPr="0036720F">
        <w:rPr>
          <w:rFonts w:asciiTheme="majorHAnsi" w:eastAsia="Times New Roman" w:hAnsiTheme="majorHAnsi" w:cs="Times New Roman"/>
          <w:szCs w:val="18"/>
        </w:rPr>
        <w:t>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234A1966" w14:textId="77777777" w:rsidR="000837CC" w:rsidRPr="0036720F" w:rsidRDefault="000837CC" w:rsidP="000837C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4C9ADAF9" w14:textId="77777777" w:rsidR="008E4F45" w:rsidRDefault="007F0BD3" w:rsidP="008E4F4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E4F45">
        <w:rPr>
          <w:rFonts w:asciiTheme="majorHAnsi" w:eastAsia="Times New Roman" w:hAnsiTheme="majorHAnsi" w:cs="Times New Roman"/>
          <w:sz w:val="24"/>
          <w:szCs w:val="24"/>
        </w:rPr>
        <w:t xml:space="preserve">Taeok Park, CSD, </w:t>
      </w:r>
      <w:r w:rsidR="000837CC" w:rsidRPr="008E4F45">
        <w:rPr>
          <w:rFonts w:asciiTheme="majorHAnsi" w:eastAsia="Times New Roman" w:hAnsiTheme="majorHAnsi" w:cs="Times New Roman"/>
          <w:sz w:val="24"/>
          <w:szCs w:val="24"/>
        </w:rPr>
        <w:t xml:space="preserve">(replacement for Georgia Tsouvala, CAS, Social Sciences, 2019-2022) </w:t>
      </w:r>
    </w:p>
    <w:p w14:paraId="28E004D1" w14:textId="77777777" w:rsidR="008E4F45" w:rsidRDefault="007F0BD3" w:rsidP="008E4F4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E4F45">
        <w:rPr>
          <w:rFonts w:asciiTheme="majorHAnsi" w:eastAsia="Times New Roman" w:hAnsiTheme="majorHAnsi" w:cs="Times New Roman"/>
          <w:sz w:val="24"/>
          <w:szCs w:val="24"/>
        </w:rPr>
        <w:t xml:space="preserve">Bill McBride, ENG, </w:t>
      </w:r>
      <w:r w:rsidR="000837CC" w:rsidRPr="008E4F45">
        <w:rPr>
          <w:rFonts w:asciiTheme="majorHAnsi" w:eastAsia="Times New Roman" w:hAnsiTheme="majorHAnsi" w:cs="Times New Roman"/>
          <w:sz w:val="24"/>
          <w:szCs w:val="24"/>
        </w:rPr>
        <w:t>(spring 2022 sabbatical replacement for Amy Wood, CAS, Humanities, 2020-2023)</w:t>
      </w:r>
    </w:p>
    <w:p w14:paraId="485FEE69" w14:textId="4BDA520C" w:rsidR="000837CC" w:rsidRPr="008E4F45" w:rsidRDefault="007F0BD3" w:rsidP="00E1295C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E4F45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53E18F0C" w:rsidR="00CB1179" w:rsidRPr="0036720F" w:rsidRDefault="00A56252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7" w:history="1">
        <w:r w:rsidR="00CB1179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6C9FFE05" w14:textId="77777777" w:rsidR="003D41CB" w:rsidRDefault="003D41CB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FEDF462" w14:textId="53CFF968" w:rsidR="00EB5920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6A088483" w14:textId="46FBF7F6" w:rsidR="00F13A28" w:rsidRDefault="00F13A28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F13A28">
        <w:rPr>
          <w:rFonts w:asciiTheme="majorHAnsi" w:eastAsia="Times New Roman" w:hAnsiTheme="majorHAnsi" w:cs="Times New Roman"/>
          <w:bCs/>
          <w:iCs/>
          <w:sz w:val="24"/>
          <w:szCs w:val="20"/>
        </w:rPr>
        <w:t>Motion by Senator</w:t>
      </w:r>
      <w:r w:rsidR="003D41C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Otto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seconded by Senator </w:t>
      </w:r>
      <w:r w:rsidR="003D41CB">
        <w:rPr>
          <w:rFonts w:asciiTheme="majorHAnsi" w:eastAsia="Times New Roman" w:hAnsiTheme="majorHAnsi" w:cs="Times New Roman"/>
          <w:bCs/>
          <w:iCs/>
          <w:sz w:val="24"/>
          <w:szCs w:val="20"/>
        </w:rPr>
        <w:t>Garrahy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, to approve the proposed Faculty Caucus agenda. The motion was unanimously approved.</w:t>
      </w:r>
    </w:p>
    <w:p w14:paraId="5B737C0C" w14:textId="6861FCF5" w:rsidR="00F13A28" w:rsidRDefault="00F13A28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F13A28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  <w:r>
        <w:rPr>
          <w:rFonts w:asciiTheme="majorHAnsi" w:eastAsia="Times New Roman" w:hAnsiTheme="majorHAnsi" w:cs="Times New Roman"/>
          <w:b/>
          <w:i/>
          <w:sz w:val="24"/>
          <w:szCs w:val="20"/>
        </w:rPr>
        <w:br/>
      </w:r>
      <w:r w:rsidR="003D41C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Garrahy, seconded by Senator Stewart, </w:t>
      </w:r>
      <w:r w:rsidR="00B471AD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to adjourn. </w:t>
      </w:r>
      <w:r w:rsidRPr="00F13A28">
        <w:rPr>
          <w:rFonts w:asciiTheme="majorHAnsi" w:eastAsia="Times New Roman" w:hAnsiTheme="majorHAnsi" w:cs="Times New Roman"/>
          <w:bCs/>
          <w:iCs/>
          <w:sz w:val="24"/>
          <w:szCs w:val="20"/>
        </w:rPr>
        <w:t>The m</w:t>
      </w:r>
      <w:r w:rsidR="00B471AD">
        <w:rPr>
          <w:rFonts w:asciiTheme="majorHAnsi" w:eastAsia="Times New Roman" w:hAnsiTheme="majorHAnsi" w:cs="Times New Roman"/>
          <w:bCs/>
          <w:iCs/>
          <w:sz w:val="24"/>
          <w:szCs w:val="20"/>
        </w:rPr>
        <w:t>otion was unanimously approved</w:t>
      </w:r>
      <w:r w:rsidRPr="00F13A28">
        <w:rPr>
          <w:rFonts w:asciiTheme="majorHAnsi" w:eastAsia="Times New Roman" w:hAnsiTheme="majorHAnsi" w:cs="Times New Roman"/>
          <w:bCs/>
          <w:iCs/>
          <w:sz w:val="24"/>
          <w:szCs w:val="20"/>
        </w:rPr>
        <w:t>.</w:t>
      </w:r>
    </w:p>
    <w:p w14:paraId="47662F70" w14:textId="77777777" w:rsidR="00B471AD" w:rsidRDefault="00B471AD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br w:type="page"/>
      </w:r>
    </w:p>
    <w:p w14:paraId="297AA5C5" w14:textId="13F8B5E1" w:rsidR="00B471AD" w:rsidRDefault="00B471AD" w:rsidP="00B471AD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B471AD" w14:paraId="4DC4735E" w14:textId="77777777" w:rsidTr="00F75EF0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6398D" w14:textId="77777777" w:rsidR="00B471AD" w:rsidRDefault="00B471AD" w:rsidP="00F75EF0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784ABEE5" w14:textId="77777777" w:rsidR="00B471AD" w:rsidRDefault="00B471AD" w:rsidP="00F75EF0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A4DE0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A7FC9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5340F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ED3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B471AD" w14:paraId="5BE99AA3" w14:textId="77777777" w:rsidTr="00F75EF0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B844" w14:textId="77777777" w:rsidR="00B471AD" w:rsidRDefault="00B471AD" w:rsidP="00F75E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762" w14:textId="77777777" w:rsidR="00B471AD" w:rsidRDefault="00B471AD" w:rsidP="00F75EF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0AAA" w14:textId="77777777" w:rsidR="00B471AD" w:rsidRDefault="00B471AD" w:rsidP="00F75EF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9FD" w14:textId="77777777" w:rsidR="00B471AD" w:rsidRDefault="00B471AD" w:rsidP="00F75EF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B86" w14:textId="77777777" w:rsidR="00B471AD" w:rsidRDefault="00B471AD" w:rsidP="00F75EF0">
            <w:pPr>
              <w:jc w:val="center"/>
              <w:rPr>
                <w:color w:val="000000"/>
              </w:rPr>
            </w:pPr>
          </w:p>
        </w:tc>
      </w:tr>
      <w:tr w:rsidR="00B471AD" w14:paraId="7C4CE34F" w14:textId="77777777" w:rsidTr="00F75EF0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994" w14:textId="77777777" w:rsidR="00B471AD" w:rsidRDefault="00B471AD" w:rsidP="00F75EF0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EDB" w14:textId="0C734C47" w:rsidR="00B471AD" w:rsidRDefault="00B471AD" w:rsidP="00F75EF0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41A" w14:textId="77777777" w:rsidR="00B471AD" w:rsidRDefault="00B471AD" w:rsidP="00F75EF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A4C" w14:textId="77777777" w:rsidR="00B471AD" w:rsidRDefault="00B471AD" w:rsidP="00F75EF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8B7" w14:textId="77777777" w:rsidR="00B471AD" w:rsidRDefault="00B471AD" w:rsidP="00F75EF0">
            <w:pPr>
              <w:jc w:val="center"/>
            </w:pPr>
          </w:p>
        </w:tc>
      </w:tr>
      <w:tr w:rsidR="00B471AD" w14:paraId="37D0C46C" w14:textId="77777777" w:rsidTr="00F75EF0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3BB2" w14:textId="77777777" w:rsidR="00B471AD" w:rsidRDefault="00B471AD" w:rsidP="00F75EF0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F38E" w14:textId="706EE68B" w:rsidR="00B471AD" w:rsidRDefault="00B471AD" w:rsidP="00F75EF0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AE6" w14:textId="77777777" w:rsidR="00B471AD" w:rsidRDefault="00B471AD" w:rsidP="00F75EF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B01" w14:textId="77777777" w:rsidR="00B471AD" w:rsidRDefault="00B471AD" w:rsidP="00F75EF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9D9" w14:textId="77777777" w:rsidR="00B471AD" w:rsidRDefault="00B471AD" w:rsidP="00F75EF0">
            <w:pPr>
              <w:jc w:val="center"/>
            </w:pPr>
          </w:p>
        </w:tc>
      </w:tr>
      <w:tr w:rsidR="00B471AD" w14:paraId="21ED193E" w14:textId="77777777" w:rsidTr="00F75EF0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2DDD" w14:textId="77777777" w:rsidR="00B471AD" w:rsidRDefault="00B471AD" w:rsidP="00F75EF0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DD3" w14:textId="3977650E" w:rsidR="00B471AD" w:rsidRDefault="00B471AD" w:rsidP="00F75EF0">
            <w:pPr>
              <w:jc w:val="center"/>
              <w:rPr>
                <w:color w:val="000000"/>
              </w:rPr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FFC" w14:textId="77777777" w:rsidR="00B471AD" w:rsidRDefault="00B471AD" w:rsidP="00F75EF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BF5" w14:textId="77777777" w:rsidR="00B471AD" w:rsidRDefault="00B471AD" w:rsidP="00F75EF0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81E" w14:textId="77777777" w:rsidR="00B471AD" w:rsidRDefault="00B471AD" w:rsidP="00F75EF0">
            <w:pPr>
              <w:jc w:val="center"/>
              <w:rPr>
                <w:color w:val="0000FF"/>
                <w:u w:val="single"/>
              </w:rPr>
            </w:pPr>
          </w:p>
        </w:tc>
      </w:tr>
      <w:tr w:rsidR="00B471AD" w14:paraId="42441D36" w14:textId="77777777" w:rsidTr="00F75EF0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1A0B" w14:textId="77777777" w:rsidR="00B471AD" w:rsidRDefault="00B471AD" w:rsidP="00F75EF0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EC85" w14:textId="46A8AEF8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5998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DA9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662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B471AD" w14:paraId="3888D661" w14:textId="77777777" w:rsidTr="00F75EF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71C4" w14:textId="77777777" w:rsidR="00B471AD" w:rsidRDefault="00B471AD" w:rsidP="00F75EF0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3B2F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86B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05D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234" w14:textId="77777777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B471AD" w14:paraId="3CF9564F" w14:textId="77777777" w:rsidTr="00F75EF0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17A2" w14:textId="77777777" w:rsidR="00B471AD" w:rsidRDefault="00B471AD" w:rsidP="00F75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9E3C" w14:textId="3CA343C8" w:rsidR="00B471AD" w:rsidRDefault="00B471AD" w:rsidP="00F75EF0">
            <w:pPr>
              <w:jc w:val="center"/>
              <w:rPr>
                <w:bCs/>
              </w:rPr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B5A" w14:textId="77777777" w:rsidR="00B471AD" w:rsidRDefault="00B471AD" w:rsidP="00F75EF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771" w14:textId="77777777" w:rsidR="00B471AD" w:rsidRDefault="00B471AD" w:rsidP="00F75EF0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B89" w14:textId="77777777" w:rsidR="00B471AD" w:rsidRDefault="00B471AD" w:rsidP="00F75EF0">
            <w:pPr>
              <w:jc w:val="center"/>
              <w:rPr>
                <w:color w:val="0000FF"/>
                <w:u w:val="single"/>
              </w:rPr>
            </w:pPr>
          </w:p>
        </w:tc>
      </w:tr>
      <w:tr w:rsidR="00B471AD" w14:paraId="5B466844" w14:textId="77777777" w:rsidTr="00F75EF0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EFBD" w14:textId="77777777" w:rsidR="00B471AD" w:rsidRDefault="00B471AD" w:rsidP="00F75E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F3BC" w14:textId="779D5201" w:rsidR="00B471AD" w:rsidRDefault="00B471AD" w:rsidP="00F75EF0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577B" w14:textId="77777777" w:rsidR="00B471AD" w:rsidRDefault="00B471AD" w:rsidP="00F75EF0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B78B" w14:textId="77777777" w:rsidR="00B471AD" w:rsidRDefault="00B471AD" w:rsidP="00F75EF0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0944" w14:textId="77777777" w:rsidR="00B471AD" w:rsidRDefault="00B471AD" w:rsidP="00F75EF0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123229CF" w14:textId="77777777" w:rsidR="00B471AD" w:rsidRPr="00F13A28" w:rsidRDefault="00B471AD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B471AD" w:rsidRPr="00F13A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B191" w14:textId="77777777" w:rsidR="008A6485" w:rsidRDefault="008A6485" w:rsidP="00B471AD">
      <w:pPr>
        <w:spacing w:after="0" w:line="240" w:lineRule="auto"/>
      </w:pPr>
      <w:r>
        <w:separator/>
      </w:r>
    </w:p>
  </w:endnote>
  <w:endnote w:type="continuationSeparator" w:id="0">
    <w:p w14:paraId="7CBC08F8" w14:textId="77777777" w:rsidR="008A6485" w:rsidRDefault="008A6485" w:rsidP="00B4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6941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5B4B5" w14:textId="3A328A4C" w:rsidR="00B471AD" w:rsidRDefault="00B471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9888C7" w14:textId="77777777" w:rsidR="00B471AD" w:rsidRDefault="00B4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A6CF" w14:textId="77777777" w:rsidR="008A6485" w:rsidRDefault="008A6485" w:rsidP="00B471AD">
      <w:pPr>
        <w:spacing w:after="0" w:line="240" w:lineRule="auto"/>
      </w:pPr>
      <w:r>
        <w:separator/>
      </w:r>
    </w:p>
  </w:footnote>
  <w:footnote w:type="continuationSeparator" w:id="0">
    <w:p w14:paraId="350C3A49" w14:textId="77777777" w:rsidR="008A6485" w:rsidRDefault="008A6485" w:rsidP="00B4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57DE8"/>
    <w:rsid w:val="00063703"/>
    <w:rsid w:val="000834A5"/>
    <w:rsid w:val="000837CC"/>
    <w:rsid w:val="00127830"/>
    <w:rsid w:val="00162EB3"/>
    <w:rsid w:val="0016760C"/>
    <w:rsid w:val="00172715"/>
    <w:rsid w:val="00174C6E"/>
    <w:rsid w:val="00177595"/>
    <w:rsid w:val="001B1560"/>
    <w:rsid w:val="001D07A1"/>
    <w:rsid w:val="001F2500"/>
    <w:rsid w:val="001F31FC"/>
    <w:rsid w:val="001F43BE"/>
    <w:rsid w:val="00241855"/>
    <w:rsid w:val="0024236A"/>
    <w:rsid w:val="00276B07"/>
    <w:rsid w:val="00286193"/>
    <w:rsid w:val="00293586"/>
    <w:rsid w:val="0029522B"/>
    <w:rsid w:val="002C638F"/>
    <w:rsid w:val="002D6A51"/>
    <w:rsid w:val="002F7330"/>
    <w:rsid w:val="00310A24"/>
    <w:rsid w:val="0032397B"/>
    <w:rsid w:val="003458F1"/>
    <w:rsid w:val="003511B2"/>
    <w:rsid w:val="0036720F"/>
    <w:rsid w:val="00394492"/>
    <w:rsid w:val="003A0830"/>
    <w:rsid w:val="003A30B7"/>
    <w:rsid w:val="003D41CB"/>
    <w:rsid w:val="003D6EDA"/>
    <w:rsid w:val="0040170C"/>
    <w:rsid w:val="0044112F"/>
    <w:rsid w:val="00443D22"/>
    <w:rsid w:val="00445BC4"/>
    <w:rsid w:val="00462D7C"/>
    <w:rsid w:val="0047275B"/>
    <w:rsid w:val="004744F7"/>
    <w:rsid w:val="00486DCE"/>
    <w:rsid w:val="004B6D47"/>
    <w:rsid w:val="004C17F5"/>
    <w:rsid w:val="004D78A5"/>
    <w:rsid w:val="004F6ED6"/>
    <w:rsid w:val="00511688"/>
    <w:rsid w:val="00526D5D"/>
    <w:rsid w:val="00526ED4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0222"/>
    <w:rsid w:val="00872501"/>
    <w:rsid w:val="008945B2"/>
    <w:rsid w:val="008A6485"/>
    <w:rsid w:val="008E278A"/>
    <w:rsid w:val="008E4F45"/>
    <w:rsid w:val="008F634E"/>
    <w:rsid w:val="00920DEA"/>
    <w:rsid w:val="009306DE"/>
    <w:rsid w:val="00946D3C"/>
    <w:rsid w:val="00951B02"/>
    <w:rsid w:val="00955313"/>
    <w:rsid w:val="00987AAA"/>
    <w:rsid w:val="009A4F2D"/>
    <w:rsid w:val="009C587D"/>
    <w:rsid w:val="00A06016"/>
    <w:rsid w:val="00A151A8"/>
    <w:rsid w:val="00A47D25"/>
    <w:rsid w:val="00A56252"/>
    <w:rsid w:val="00A832CB"/>
    <w:rsid w:val="00A84094"/>
    <w:rsid w:val="00A90DC3"/>
    <w:rsid w:val="00AA6243"/>
    <w:rsid w:val="00AA735F"/>
    <w:rsid w:val="00AC350C"/>
    <w:rsid w:val="00AF6BD6"/>
    <w:rsid w:val="00B1507D"/>
    <w:rsid w:val="00B235E6"/>
    <w:rsid w:val="00B46B26"/>
    <w:rsid w:val="00B471AD"/>
    <w:rsid w:val="00B549B2"/>
    <w:rsid w:val="00B746D8"/>
    <w:rsid w:val="00BC79AE"/>
    <w:rsid w:val="00BD1B64"/>
    <w:rsid w:val="00BE0408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E0ED4"/>
    <w:rsid w:val="00EE75F7"/>
    <w:rsid w:val="00EF7D90"/>
    <w:rsid w:val="00F13A28"/>
    <w:rsid w:val="00F166AA"/>
    <w:rsid w:val="00F2073C"/>
    <w:rsid w:val="00F25ACD"/>
    <w:rsid w:val="00F461DD"/>
    <w:rsid w:val="00F751B1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FD176372-CC1E-4339-AF6D-0B70693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AD"/>
  </w:style>
  <w:style w:type="paragraph" w:styleId="Footer">
    <w:name w:val="footer"/>
    <w:basedOn w:val="Normal"/>
    <w:link w:val="FooterChar"/>
    <w:uiPriority w:val="99"/>
    <w:unhideWhenUsed/>
    <w:rsid w:val="00B4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cp:lastPrinted>2021-11-04T21:07:00Z</cp:lastPrinted>
  <dcterms:created xsi:type="dcterms:W3CDTF">2022-01-18T20:27:00Z</dcterms:created>
  <dcterms:modified xsi:type="dcterms:W3CDTF">2022-01-27T19:59:00Z</dcterms:modified>
</cp:coreProperties>
</file>