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123D921B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9F36FB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5D42EA19" w:rsidR="005B00FD" w:rsidRPr="0036720F" w:rsidRDefault="00013DE3" w:rsidP="6A9420A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6A9420AB">
        <w:rPr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</w:rPr>
        <w:t>Monday</w:t>
      </w:r>
      <w:r w:rsidR="005B00FD" w:rsidRPr="6A9420AB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, </w:t>
      </w:r>
      <w:r w:rsidR="00601984" w:rsidRPr="6A9420AB">
        <w:rPr>
          <w:rFonts w:asciiTheme="majorHAnsi" w:eastAsia="Times New Roman" w:hAnsiTheme="majorHAnsi" w:cs="Times New Roman"/>
          <w:b/>
          <w:bCs/>
          <w:sz w:val="24"/>
          <w:szCs w:val="24"/>
        </w:rPr>
        <w:t>September</w:t>
      </w:r>
      <w:r w:rsidR="1743C998" w:rsidRPr="6A9420AB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15</w:t>
      </w:r>
      <w:r w:rsidR="00C61F50" w:rsidRPr="6A9420AB">
        <w:rPr>
          <w:rFonts w:asciiTheme="majorHAnsi" w:eastAsia="Times New Roman" w:hAnsiTheme="majorHAnsi" w:cs="Times New Roman"/>
          <w:b/>
          <w:bCs/>
          <w:sz w:val="24"/>
          <w:szCs w:val="24"/>
        </w:rPr>
        <w:t>, 202</w:t>
      </w:r>
      <w:r w:rsidR="004D03CA" w:rsidRPr="6A9420AB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5CAE4AD1" w:rsidR="001A4910" w:rsidRPr="00A71FDA" w:rsidRDefault="00A71FDA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 xml:space="preserve">Chairperson Bonnell called the meeting to order and declared quorum. </w:t>
      </w:r>
    </w:p>
    <w:p w14:paraId="79CEF977" w14:textId="77777777" w:rsidR="00A71FDA" w:rsidRDefault="00A71FDA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All speakers must </w:t>
      </w:r>
      <w:proofErr w:type="gramStart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0A36AE9" w14:textId="561D3A06" w:rsidR="006D703C" w:rsidRPr="00A71FDA" w:rsidRDefault="00A71FDA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None.</w:t>
      </w:r>
    </w:p>
    <w:p w14:paraId="31EF1468" w14:textId="77777777" w:rsidR="00A71FDA" w:rsidRDefault="00A71FDA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156DFE2" w14:textId="69D492E0" w:rsidR="11648882" w:rsidRDefault="11648882" w:rsidP="6A9420AB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6A9420AB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11">
        <w:r w:rsidR="105BA2D8" w:rsidRPr="6A9420AB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9-2-25</w:t>
        </w:r>
      </w:hyperlink>
    </w:p>
    <w:p w14:paraId="1F25AD8C" w14:textId="1737F3CE" w:rsidR="00335F36" w:rsidRDefault="00A71FDA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Motion by Senator Stewart. </w:t>
      </w:r>
    </w:p>
    <w:p w14:paraId="4B601C08" w14:textId="1F744FC7" w:rsidR="00A71FDA" w:rsidRDefault="00A71FDA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Second by Senator McHale. </w:t>
      </w:r>
    </w:p>
    <w:p w14:paraId="4FBF9888" w14:textId="38CFFA40" w:rsidR="00A71FDA" w:rsidRPr="00A71FDA" w:rsidRDefault="00A71FDA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Unanimous approval. </w:t>
      </w:r>
    </w:p>
    <w:p w14:paraId="742ACF20" w14:textId="77777777" w:rsidR="00A71FDA" w:rsidRDefault="00A71FDA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5C7909F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Oral Communication:</w:t>
      </w:r>
    </w:p>
    <w:p w14:paraId="27EEF716" w14:textId="00189231" w:rsidR="37437177" w:rsidRDefault="37437177" w:rsidP="6A9420AB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A9420A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Internal Committee Placement for Senator Ionescu </w:t>
      </w:r>
    </w:p>
    <w:p w14:paraId="7E8F0F97" w14:textId="6FD5CD76" w:rsidR="00F44AFA" w:rsidRPr="00A71FDA" w:rsidRDefault="00A71FDA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The committee agreed to place Senator Ionescu on the Administrative Affairs and Budget Committee.</w:t>
      </w:r>
    </w:p>
    <w:p w14:paraId="74A3D1F9" w14:textId="77777777" w:rsidR="00A71FDA" w:rsidRDefault="00A71FDA" w:rsidP="005C458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683D694A" w14:textId="7FEEF8A2" w:rsidR="005C458B" w:rsidRDefault="005C458B" w:rsidP="5C7909F9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5C7909F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 w:rsidRPr="5C7909F9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3E7841E4" w14:textId="050447C3" w:rsidR="6424D698" w:rsidRDefault="6424D698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79D2AC83" w14:textId="39CDBDB7" w:rsidR="00626715" w:rsidRDefault="005B00FD" w:rsidP="004D03CA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30D726B0" w14:textId="4DE64ECF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Motion by Senator Nikolaou. </w:t>
      </w:r>
    </w:p>
    <w:p w14:paraId="6372B06B" w14:textId="0E251B24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Second by Senator Stewart. </w:t>
      </w:r>
    </w:p>
    <w:p w14:paraId="45224696" w14:textId="39F39BE8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0149B4C9" w14:textId="68FE7E8F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Provost Yazedjian: We need to talk about the students on the two search committees. Is it al</w:t>
      </w:r>
      <w:r w:rsidR="006F618A">
        <w:rPr>
          <w:rFonts w:asciiTheme="majorHAnsi" w:eastAsia="Times New Roman" w:hAnsiTheme="majorHAnsi" w:cs="Times New Roman"/>
          <w:sz w:val="24"/>
          <w:szCs w:val="24"/>
        </w:rPr>
        <w:t>l r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ight to forward that to Academic Affairs to determine the number? </w:t>
      </w:r>
    </w:p>
    <w:p w14:paraId="04DB59F4" w14:textId="03AB3AC6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Chairperson Bonnell: Can we do it the way it has been done? You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send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it to </w:t>
      </w:r>
      <w:r w:rsidR="002E11B2">
        <w:rPr>
          <w:rFonts w:asciiTheme="majorHAnsi" w:eastAsia="Times New Roman" w:hAnsiTheme="majorHAnsi" w:cs="Times New Roman"/>
          <w:sz w:val="24"/>
          <w:szCs w:val="24"/>
        </w:rPr>
        <w:t>me,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and I will send it. </w:t>
      </w:r>
    </w:p>
    <w:p w14:paraId="61BAE2F4" w14:textId="4C733036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Provost Yazedjian: Yes, I want to provide a little context for people, so they know. I think we are fine with one student for Undergraduate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Education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which is what it says there, but for Research our recommendation would be one undergrad and one graduate. </w:t>
      </w:r>
    </w:p>
    <w:p w14:paraId="2B4424F4" w14:textId="21C83BE8" w:rsidR="00A71FDA" w:rsidRDefault="00A71FDA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Chairperson Bonnell: That seems reasonable</w:t>
      </w:r>
      <w:r w:rsidR="002E11B2">
        <w:rPr>
          <w:rFonts w:asciiTheme="majorHAnsi" w:eastAsia="Times New Roman" w:hAnsiTheme="majorHAnsi" w:cs="Times New Roman"/>
          <w:sz w:val="24"/>
          <w:szCs w:val="24"/>
        </w:rPr>
        <w:t xml:space="preserve">. We still have time because the emails haven’t gone. You would just like to have things settled to get the volunteers? </w:t>
      </w:r>
    </w:p>
    <w:p w14:paraId="6A975B71" w14:textId="77777777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48BF5C93" w14:textId="5636C6B0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Provost Yazedjian: Right. Academic Affairs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has 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make the decision so we can send the call. If you all said “No, we don’t want grad students</w:t>
      </w:r>
      <w:r w:rsidR="006F618A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” we wouldn’t reach out for grad students. Do you all have to make that decision at the next Senate meeting? </w:t>
      </w:r>
    </w:p>
    <w:p w14:paraId="15F81DE0" w14:textId="11A3B5A1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Senator Nikolaou: If you want, I will put it on the agenda for Academic Affairs. Unless you think you are not going to have the email ready to go out by then? </w:t>
      </w:r>
    </w:p>
    <w:p w14:paraId="32D9D897" w14:textId="79907C91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Provost Yazedjian: No, we want it ready by next week. </w:t>
      </w:r>
    </w:p>
    <w:p w14:paraId="4ADDB480" w14:textId="4010D007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Senator McHale: Does this have to go in front of the body to be voted on? </w:t>
      </w:r>
    </w:p>
    <w:p w14:paraId="686B041D" w14:textId="5C785DCA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Senator Nikolaou: No, Academic Affairs is where we meet to determine if we need students. Once we vote, we will tell you that we agree. </w:t>
      </w:r>
    </w:p>
    <w:p w14:paraId="133115A3" w14:textId="13D57445" w:rsidR="002E11B2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Provost Yazedjian: We will do the faculty one as soon as possible. Then we will hold and have our email ready to go for students once you all vote. </w:t>
      </w:r>
    </w:p>
    <w:p w14:paraId="77315979" w14:textId="0B46B3AA" w:rsidR="002E11B2" w:rsidRPr="00A71FDA" w:rsidRDefault="002E11B2" w:rsidP="004D03CA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Senator Nikolaou: You will know next Exec. </w:t>
      </w: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21430D78" w14:textId="0AD6C141" w:rsidR="00DE3D6F" w:rsidRDefault="00A71FDA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Motion by Senator McHale. </w:t>
      </w:r>
    </w:p>
    <w:p w14:paraId="52D8F3E4" w14:textId="1D7F5A56" w:rsidR="00A71FDA" w:rsidRDefault="00A71FDA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Second by Senator Valentin. </w:t>
      </w:r>
    </w:p>
    <w:p w14:paraId="1510620B" w14:textId="34EC0CD6" w:rsidR="00A71FDA" w:rsidRPr="00A71FDA" w:rsidRDefault="00A71FDA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Unanimous approval. </w:t>
      </w:r>
    </w:p>
    <w:p w14:paraId="1D1E2F99" w14:textId="77777777" w:rsidR="00A71FDA" w:rsidRDefault="00A71FDA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59617D74" w:rsidR="005B00FD" w:rsidRPr="00D75091" w:rsidRDefault="009F36FB" w:rsidP="005B00FD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i/>
          <w:iCs/>
          <w:sz w:val="28"/>
          <w:szCs w:val="28"/>
        </w:rPr>
        <w:t xml:space="preserve">Proposed </w:t>
      </w:r>
      <w:r w:rsidR="005B00FD" w:rsidRPr="00D75091">
        <w:rPr>
          <w:rFonts w:asciiTheme="majorHAnsi" w:hAnsiTheme="majorHAnsi" w:cs="Times New Roman"/>
          <w:b/>
          <w:sz w:val="28"/>
          <w:szCs w:val="28"/>
        </w:rPr>
        <w:t>Faculty Caucus Meeting Agenda</w:t>
      </w:r>
    </w:p>
    <w:p w14:paraId="5228A28B" w14:textId="35CAA37E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601984">
        <w:rPr>
          <w:rFonts w:asciiTheme="majorHAnsi" w:hAnsiTheme="majorHAnsi" w:cs="Times New Roman"/>
          <w:b/>
          <w:sz w:val="24"/>
          <w:szCs w:val="24"/>
        </w:rPr>
        <w:t>September 24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4D03CA">
        <w:rPr>
          <w:rFonts w:asciiTheme="majorHAnsi" w:hAnsiTheme="majorHAnsi" w:cs="Times New Roman"/>
          <w:b/>
          <w:sz w:val="24"/>
          <w:szCs w:val="24"/>
        </w:rPr>
        <w:t>5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Public Comment: All speakers must </w:t>
      </w:r>
      <w:proofErr w:type="gramStart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242B2B11" w:rsidR="00745260" w:rsidRDefault="00745260" w:rsidP="6A9420AB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A9420A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6A9420A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310AB21B" w:rsidRPr="6A9420A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9-10-25</w:t>
      </w:r>
    </w:p>
    <w:p w14:paraId="41B511F5" w14:textId="7E403D0B" w:rsidR="00AB16AD" w:rsidRDefault="00C61F50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64E26DA7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bookmarkStart w:id="0" w:name="_Hlk142985919"/>
    </w:p>
    <w:bookmarkEnd w:id="0"/>
    <w:p w14:paraId="1FFFF330" w14:textId="510938AB" w:rsidR="64E26DA7" w:rsidRDefault="2789F593" w:rsidP="6A9420AB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  <w:u w:val="single"/>
        </w:rPr>
      </w:pPr>
      <w:r w:rsidRPr="6A9420AB">
        <w:rPr>
          <w:rFonts w:ascii="Cambria" w:eastAsia="Times New Roman" w:hAnsi="Cambria" w:cs="Times New Roman"/>
          <w:b/>
          <w:bCs/>
          <w:i/>
          <w:iCs/>
          <w:sz w:val="24"/>
          <w:szCs w:val="24"/>
          <w:u w:val="single"/>
        </w:rPr>
        <w:t>Textbook Affordability Committee Election</w:t>
      </w:r>
    </w:p>
    <w:p w14:paraId="288793CA" w14:textId="559A5EC3" w:rsidR="2789F593" w:rsidRDefault="2789F593" w:rsidP="50A2EACA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50A2EACA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Amanda Slepicka, MCN, 2025-2027 </w:t>
      </w:r>
    </w:p>
    <w:p w14:paraId="3EA4DD74" w14:textId="705ECF41" w:rsidR="106554D2" w:rsidRDefault="106554D2" w:rsidP="106554D2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AEDA" w14:textId="77777777" w:rsidR="006F618A" w:rsidRDefault="006F618A" w:rsidP="006F618A">
      <w:pPr>
        <w:spacing w:after="0" w:line="240" w:lineRule="auto"/>
      </w:pPr>
      <w:r>
        <w:separator/>
      </w:r>
    </w:p>
  </w:endnote>
  <w:endnote w:type="continuationSeparator" w:id="0">
    <w:p w14:paraId="6FC48234" w14:textId="77777777" w:rsidR="006F618A" w:rsidRDefault="006F618A" w:rsidP="006F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02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7D4B8" w14:textId="08DEC4F2" w:rsidR="006F618A" w:rsidRDefault="006F61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49723" w14:textId="77777777" w:rsidR="006F618A" w:rsidRDefault="006F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B98B" w14:textId="77777777" w:rsidR="006F618A" w:rsidRDefault="006F618A" w:rsidP="006F618A">
      <w:pPr>
        <w:spacing w:after="0" w:line="240" w:lineRule="auto"/>
      </w:pPr>
      <w:r>
        <w:separator/>
      </w:r>
    </w:p>
  </w:footnote>
  <w:footnote w:type="continuationSeparator" w:id="0">
    <w:p w14:paraId="2E85228F" w14:textId="77777777" w:rsidR="006F618A" w:rsidRDefault="006F618A" w:rsidP="006F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E11B2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1984"/>
    <w:rsid w:val="00602900"/>
    <w:rsid w:val="00626715"/>
    <w:rsid w:val="00626A72"/>
    <w:rsid w:val="00627752"/>
    <w:rsid w:val="00627EDD"/>
    <w:rsid w:val="00634390"/>
    <w:rsid w:val="0065169C"/>
    <w:rsid w:val="006627BC"/>
    <w:rsid w:val="0066604D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18A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9F36FB"/>
    <w:rsid w:val="00A06016"/>
    <w:rsid w:val="00A06395"/>
    <w:rsid w:val="00A151A8"/>
    <w:rsid w:val="00A47D25"/>
    <w:rsid w:val="00A51628"/>
    <w:rsid w:val="00A541AB"/>
    <w:rsid w:val="00A545EF"/>
    <w:rsid w:val="00A62A17"/>
    <w:rsid w:val="00A64D15"/>
    <w:rsid w:val="00A64DB2"/>
    <w:rsid w:val="00A71FDA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0344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18BB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0D141A83"/>
    <w:rsid w:val="105BA2D8"/>
    <w:rsid w:val="1061DAAC"/>
    <w:rsid w:val="106554D2"/>
    <w:rsid w:val="10C9C177"/>
    <w:rsid w:val="11648882"/>
    <w:rsid w:val="1214E59E"/>
    <w:rsid w:val="1743C998"/>
    <w:rsid w:val="1E0D196A"/>
    <w:rsid w:val="213D3F6D"/>
    <w:rsid w:val="22914BAB"/>
    <w:rsid w:val="2789F593"/>
    <w:rsid w:val="297C7924"/>
    <w:rsid w:val="2AE104F8"/>
    <w:rsid w:val="2B35A41A"/>
    <w:rsid w:val="2CFEACFC"/>
    <w:rsid w:val="2DCB4BB2"/>
    <w:rsid w:val="310AB21B"/>
    <w:rsid w:val="322AB298"/>
    <w:rsid w:val="322E4DC8"/>
    <w:rsid w:val="3448D7C8"/>
    <w:rsid w:val="36C4115B"/>
    <w:rsid w:val="37437177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0A17B19"/>
    <w:rsid w:val="50A2EACA"/>
    <w:rsid w:val="5625B963"/>
    <w:rsid w:val="56BF75E1"/>
    <w:rsid w:val="572E20A0"/>
    <w:rsid w:val="587FC3D5"/>
    <w:rsid w:val="5A44B58C"/>
    <w:rsid w:val="5C47C0C2"/>
    <w:rsid w:val="5C4D3EF8"/>
    <w:rsid w:val="5C7909F9"/>
    <w:rsid w:val="5CAC49C1"/>
    <w:rsid w:val="5F1A41D5"/>
    <w:rsid w:val="637B8FA1"/>
    <w:rsid w:val="6424D698"/>
    <w:rsid w:val="64E26DA7"/>
    <w:rsid w:val="664C1121"/>
    <w:rsid w:val="67D1296C"/>
    <w:rsid w:val="68412C0B"/>
    <w:rsid w:val="6A9420AB"/>
    <w:rsid w:val="6B484E5C"/>
    <w:rsid w:val="6C6E4D2D"/>
    <w:rsid w:val="6DBDD4C8"/>
    <w:rsid w:val="6DCD7E18"/>
    <w:rsid w:val="6E92D760"/>
    <w:rsid w:val="7212FBAA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8A"/>
  </w:style>
  <w:style w:type="paragraph" w:styleId="Footer">
    <w:name w:val="footer"/>
    <w:basedOn w:val="Normal"/>
    <w:link w:val="FooterChar"/>
    <w:uiPriority w:val="99"/>
    <w:unhideWhenUsed/>
    <w:rsid w:val="006F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linoisstateuniversity.sharepoint.com/:w:/s/AcademicSenate/ETpjzEdDEqdBu_tUzqpGNEgB8NE21eQ9xSe_2j_0LF2reQ?e=xDFpz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B48C7-2D6C-49D6-9D98-A6861845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3</cp:revision>
  <cp:lastPrinted>2023-08-18T21:17:00Z</cp:lastPrinted>
  <dcterms:created xsi:type="dcterms:W3CDTF">2025-09-26T12:07:00Z</dcterms:created>
  <dcterms:modified xsi:type="dcterms:W3CDTF">2025-09-26T12:10:00Z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