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7155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Academic Affairs Committee</w:t>
      </w:r>
      <w:r>
        <w:rPr>
          <w:rStyle w:val="eop"/>
          <w:rFonts w:eastAsiaTheme="majorEastAsia"/>
          <w:sz w:val="36"/>
          <w:szCs w:val="36"/>
        </w:rPr>
        <w:t> </w:t>
      </w:r>
    </w:p>
    <w:p w14:paraId="32879FBF" w14:textId="7F796CCE" w:rsidR="000126E6" w:rsidRDefault="00E051D7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Minutes</w:t>
      </w:r>
      <w:r w:rsidR="000126E6">
        <w:rPr>
          <w:rStyle w:val="normaltextrun"/>
          <w:rFonts w:eastAsiaTheme="majorEastAsia"/>
          <w:b/>
          <w:bCs/>
        </w:rPr>
        <w:t> for Meeting No.</w:t>
      </w:r>
      <w:r w:rsidR="004B71B2">
        <w:rPr>
          <w:rStyle w:val="normaltextrun"/>
          <w:rFonts w:eastAsiaTheme="majorEastAsia"/>
          <w:b/>
          <w:bCs/>
        </w:rPr>
        <w:t>10</w:t>
      </w:r>
      <w:r w:rsidR="000126E6">
        <w:rPr>
          <w:rStyle w:val="eop"/>
          <w:rFonts w:eastAsiaTheme="majorEastAsia"/>
        </w:rPr>
        <w:t> </w:t>
      </w:r>
    </w:p>
    <w:p w14:paraId="1808425F" w14:textId="23B2B673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Wednesday, </w:t>
      </w:r>
      <w:r w:rsidR="00DA3128">
        <w:rPr>
          <w:rStyle w:val="normaltextrun"/>
          <w:rFonts w:eastAsiaTheme="majorEastAsia"/>
          <w:b/>
          <w:bCs/>
        </w:rPr>
        <w:t xml:space="preserve">February </w:t>
      </w:r>
      <w:r w:rsidR="00A00B1F">
        <w:rPr>
          <w:rStyle w:val="normaltextrun"/>
          <w:rFonts w:eastAsiaTheme="majorEastAsia"/>
          <w:b/>
          <w:bCs/>
        </w:rPr>
        <w:t>18</w:t>
      </w:r>
      <w:r>
        <w:rPr>
          <w:rStyle w:val="normaltextrun"/>
          <w:rFonts w:eastAsiaTheme="majorEastAsia"/>
          <w:b/>
          <w:bCs/>
        </w:rPr>
        <w:t>, 2026</w:t>
      </w:r>
      <w:r>
        <w:rPr>
          <w:rStyle w:val="eop"/>
          <w:rFonts w:eastAsiaTheme="majorEastAsia"/>
        </w:rPr>
        <w:t> </w:t>
      </w:r>
    </w:p>
    <w:p w14:paraId="0FE70424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6:00 P.M.</w:t>
      </w:r>
      <w:r>
        <w:rPr>
          <w:rStyle w:val="eop"/>
          <w:rFonts w:eastAsiaTheme="majorEastAsia"/>
        </w:rPr>
        <w:t> </w:t>
      </w:r>
    </w:p>
    <w:p w14:paraId="2C969373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Founders Suite (conference side), Bone Student Center</w:t>
      </w:r>
      <w:r>
        <w:rPr>
          <w:rStyle w:val="eop"/>
          <w:rFonts w:eastAsiaTheme="majorEastAsia"/>
        </w:rPr>
        <w:t> </w:t>
      </w:r>
    </w:p>
    <w:p w14:paraId="27A3695D" w14:textId="77777777" w:rsidR="000126E6" w:rsidRDefault="000126E6" w:rsidP="000126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0DCC4F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0363BD08" w14:textId="0A2DC86A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Roll Call</w:t>
      </w:r>
      <w:r>
        <w:rPr>
          <w:rStyle w:val="normaltextrun"/>
          <w:rFonts w:eastAsiaTheme="majorEastAsia"/>
        </w:rPr>
        <w:t>: Kidwaro, McHale, Nikolaou, Seifert, Jannu, Sweedler, Susami, Zagal, Faculty Senator (Vacant), </w:t>
      </w:r>
      <w:r w:rsidR="005A3C0B">
        <w:rPr>
          <w:rStyle w:val="normaltextrun"/>
          <w:rFonts w:eastAsiaTheme="majorEastAsia"/>
        </w:rPr>
        <w:t xml:space="preserve">Student Senator (Vacant), </w:t>
      </w:r>
      <w:r>
        <w:rPr>
          <w:rStyle w:val="normaltextrun"/>
          <w:rFonts w:eastAsiaTheme="majorEastAsia"/>
          <w:i/>
          <w:iCs/>
        </w:rPr>
        <w:t>Craig (Chief Equity and Inclusion Officer)</w:t>
      </w:r>
      <w:r>
        <w:rPr>
          <w:rStyle w:val="normaltextrun"/>
          <w:rFonts w:eastAsiaTheme="majorEastAsia"/>
        </w:rPr>
        <w:t>, </w:t>
      </w:r>
      <w:r>
        <w:rPr>
          <w:rStyle w:val="normaltextrun"/>
          <w:rFonts w:eastAsiaTheme="majorEastAsia"/>
          <w:i/>
          <w:iCs/>
        </w:rPr>
        <w:t>Hurd (AVP for Undergraduate Education)</w:t>
      </w:r>
      <w:r>
        <w:rPr>
          <w:rStyle w:val="normaltextrun"/>
          <w:rFonts w:eastAsiaTheme="majorEastAsia"/>
        </w:rPr>
        <w:t>. (Note: quorum is five voting members; </w:t>
      </w:r>
      <w:r>
        <w:rPr>
          <w:rStyle w:val="normaltextrun"/>
          <w:rFonts w:eastAsiaTheme="majorEastAsia"/>
          <w:i/>
          <w:iCs/>
        </w:rPr>
        <w:t>ex officio</w:t>
      </w:r>
      <w:r>
        <w:rPr>
          <w:rStyle w:val="normaltextrun"/>
          <w:rFonts w:eastAsiaTheme="majorEastAsia"/>
        </w:rPr>
        <w:t>).</w:t>
      </w:r>
      <w:r>
        <w:rPr>
          <w:rStyle w:val="eop"/>
          <w:rFonts w:eastAsiaTheme="majorEastAsia"/>
        </w:rPr>
        <w:t> </w:t>
      </w:r>
    </w:p>
    <w:p w14:paraId="0B4DD5D7" w14:textId="37E86B57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Present: </w:t>
      </w:r>
      <w:r>
        <w:rPr>
          <w:rStyle w:val="normaltextrun"/>
          <w:rFonts w:eastAsiaTheme="majorEastAsia"/>
        </w:rPr>
        <w:t>Kidwaro, Nikolaou, Jannu, Susami, </w:t>
      </w:r>
      <w:r w:rsidR="009C3A9B">
        <w:rPr>
          <w:rStyle w:val="normaltextrun"/>
          <w:rFonts w:eastAsiaTheme="majorEastAsia"/>
        </w:rPr>
        <w:t>Sweedler, Craig</w:t>
      </w:r>
      <w:r>
        <w:rPr>
          <w:rStyle w:val="normaltextrun"/>
          <w:rFonts w:eastAsiaTheme="majorEastAsia"/>
        </w:rPr>
        <w:t>, Hurd.</w:t>
      </w:r>
    </w:p>
    <w:p w14:paraId="269F6355" w14:textId="3F97A8EE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 xml:space="preserve">Absent: </w:t>
      </w:r>
      <w:r w:rsidR="005A3C0B">
        <w:rPr>
          <w:rStyle w:val="eop"/>
          <w:rFonts w:eastAsiaTheme="majorEastAsia"/>
        </w:rPr>
        <w:t xml:space="preserve">McHale, </w:t>
      </w:r>
      <w:r>
        <w:rPr>
          <w:rStyle w:val="normaltextrun"/>
          <w:rFonts w:eastAsiaTheme="majorEastAsia"/>
        </w:rPr>
        <w:t>Seifert, </w:t>
      </w:r>
      <w:r w:rsidR="009C3A9B">
        <w:rPr>
          <w:rStyle w:val="normaltextrun"/>
          <w:rFonts w:eastAsiaTheme="majorEastAsia"/>
        </w:rPr>
        <w:t>Zagal</w:t>
      </w:r>
      <w:r>
        <w:rPr>
          <w:rStyle w:val="normaltextrun"/>
          <w:rFonts w:eastAsiaTheme="majorEastAsia"/>
        </w:rPr>
        <w:t>.</w:t>
      </w:r>
    </w:p>
    <w:p w14:paraId="24579694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Public Comment</w:t>
      </w:r>
      <w:r>
        <w:rPr>
          <w:rStyle w:val="eop"/>
          <w:rFonts w:eastAsiaTheme="majorEastAsia"/>
        </w:rPr>
        <w:t> </w:t>
      </w:r>
    </w:p>
    <w:p w14:paraId="40CC008F" w14:textId="0C522B82" w:rsidR="00BC34EE" w:rsidRDefault="00BC34EE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No Public Comment</w:t>
      </w:r>
    </w:p>
    <w:p w14:paraId="3E72E487" w14:textId="708A3637" w:rsidR="00BC34EE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Oral Communications</w:t>
      </w:r>
      <w:r>
        <w:rPr>
          <w:rStyle w:val="eop"/>
          <w:rFonts w:eastAsiaTheme="majorEastAsia"/>
        </w:rPr>
        <w:t> </w:t>
      </w:r>
    </w:p>
    <w:p w14:paraId="41F53053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Order of Business:</w:t>
      </w:r>
      <w:r>
        <w:rPr>
          <w:rStyle w:val="eop"/>
          <w:rFonts w:eastAsiaTheme="majorEastAsia"/>
        </w:rPr>
        <w:t> </w:t>
      </w:r>
    </w:p>
    <w:p w14:paraId="764BABFA" w14:textId="3C45DF9D" w:rsidR="000126E6" w:rsidRPr="00A76046" w:rsidRDefault="000126E6" w:rsidP="000126E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Approval of AAC Minutes No.</w:t>
      </w:r>
      <w:r w:rsidR="00A10C1B">
        <w:rPr>
          <w:rStyle w:val="normaltextrun"/>
          <w:rFonts w:eastAsiaTheme="majorEastAsia"/>
        </w:rPr>
        <w:t>9</w:t>
      </w:r>
      <w:r>
        <w:rPr>
          <w:rStyle w:val="normaltextrun"/>
          <w:rFonts w:eastAsiaTheme="majorEastAsia"/>
        </w:rPr>
        <w:t> </w:t>
      </w:r>
      <w:r>
        <w:rPr>
          <w:rStyle w:val="eop"/>
          <w:rFonts w:eastAsiaTheme="majorEastAsia"/>
        </w:rPr>
        <w:t> </w:t>
      </w:r>
    </w:p>
    <w:p w14:paraId="5CF274FD" w14:textId="4F863F1D" w:rsidR="00A76046" w:rsidRDefault="00662D96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0B2FEB">
        <w:t>Sweedler</w:t>
      </w:r>
    </w:p>
    <w:p w14:paraId="274D97FA" w14:textId="03CD34E6" w:rsidR="00662D96" w:rsidRDefault="00662D96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0B2FEB">
        <w:t>Jannu</w:t>
      </w:r>
    </w:p>
    <w:p w14:paraId="50118F21" w14:textId="5E6D4F58" w:rsidR="000126E6" w:rsidRPr="00592F4F" w:rsidRDefault="00E41352" w:rsidP="000126E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t>Policy 4.1.18</w:t>
      </w:r>
      <w:r w:rsidRPr="006F5089">
        <w:t xml:space="preserve"> </w:t>
      </w:r>
      <w:r>
        <w:t xml:space="preserve">– </w:t>
      </w:r>
      <w:r w:rsidRPr="006F5089">
        <w:t>Credit</w:t>
      </w:r>
      <w:r>
        <w:t xml:space="preserve"> </w:t>
      </w:r>
      <w:r w:rsidRPr="006F5089">
        <w:t>Earned through Transfer, Examination, and Prior Learning</w:t>
      </w:r>
    </w:p>
    <w:p w14:paraId="0EC34B0C" w14:textId="72730536" w:rsidR="00592F4F" w:rsidRDefault="00E554B1" w:rsidP="00592F4F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Add under Section IV.J</w:t>
      </w:r>
      <w:r w:rsidR="00E65626">
        <w:t xml:space="preserve"> credit earned for the seal in American Sign Language: 6 credits for SED 130 and 230</w:t>
      </w:r>
      <w:r w:rsidR="000B2FEB">
        <w:t>,</w:t>
      </w:r>
      <w:r w:rsidR="00E65626">
        <w:t xml:space="preserve"> and </w:t>
      </w:r>
      <w:r w:rsidR="00F51867">
        <w:t>2 credits for LAN 112.</w:t>
      </w:r>
    </w:p>
    <w:p w14:paraId="098F9E92" w14:textId="03D2EB09" w:rsidR="00145D33" w:rsidRDefault="00145D33" w:rsidP="00592F4F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Discussion about whether ASL counts for satisfying the World Language Graduation Requirement</w:t>
      </w:r>
      <w:r w:rsidR="0008265E">
        <w:t xml:space="preserve"> and what happens if the students have already completed one of these courses (SED 130, 230</w:t>
      </w:r>
      <w:r w:rsidR="000B2FEB">
        <w:t>,</w:t>
      </w:r>
      <w:r w:rsidR="0008265E">
        <w:t xml:space="preserve"> and/or LAN 112).</w:t>
      </w:r>
    </w:p>
    <w:p w14:paraId="2BADF573" w14:textId="6006565D" w:rsidR="00F51867" w:rsidRDefault="00F51867" w:rsidP="00592F4F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Add sections and subsections throughout the policy.</w:t>
      </w:r>
    </w:p>
    <w:p w14:paraId="12FFCB4D" w14:textId="5ADC789F" w:rsidR="003A029E" w:rsidRDefault="002A2AF6" w:rsidP="00592F4F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Motion to send </w:t>
      </w:r>
      <w:r w:rsidR="00AC4A2E">
        <w:t xml:space="preserve">Policy </w:t>
      </w:r>
      <w:r w:rsidR="00E41352">
        <w:t xml:space="preserve">4.1.18 </w:t>
      </w:r>
      <w:r>
        <w:t>to the Academic Senate Executive Committee</w:t>
      </w:r>
    </w:p>
    <w:p w14:paraId="425A6AA5" w14:textId="77777777" w:rsidR="005B7EAD" w:rsidRDefault="002A2AF6" w:rsidP="002A2AF6">
      <w:pPr>
        <w:pStyle w:val="paragraph"/>
        <w:numPr>
          <w:ilvl w:val="3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5B7EAD">
        <w:t>Susami</w:t>
      </w:r>
    </w:p>
    <w:p w14:paraId="36C83797" w14:textId="18A1325D" w:rsidR="002A2AF6" w:rsidRDefault="002A2AF6" w:rsidP="002A2AF6">
      <w:pPr>
        <w:pStyle w:val="paragraph"/>
        <w:numPr>
          <w:ilvl w:val="3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5B7EAD">
        <w:t>Kidwaro</w:t>
      </w:r>
    </w:p>
    <w:p w14:paraId="51D6935D" w14:textId="198CFF11" w:rsidR="0047373D" w:rsidRPr="0047373D" w:rsidRDefault="00E91DB7" w:rsidP="00E41352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144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Code of Student Conduct</w:t>
      </w:r>
      <w:r w:rsidR="000126E6">
        <w:rPr>
          <w:rStyle w:val="eop"/>
          <w:rFonts w:eastAsiaTheme="majorEastAsia"/>
        </w:rPr>
        <w:t> </w:t>
      </w:r>
    </w:p>
    <w:p w14:paraId="539D3E02" w14:textId="6B7E57D2" w:rsidR="00BF3F44" w:rsidRDefault="00F04D3B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Under Section 6, clarify whether it is a regulation or a policy.</w:t>
      </w:r>
      <w:r w:rsidR="00AD20B5">
        <w:t xml:space="preserve"> In general, why does the Code refer to regulations and not policies throughout the document?</w:t>
      </w:r>
    </w:p>
    <w:p w14:paraId="5A66CB56" w14:textId="29E65620" w:rsidR="00790833" w:rsidRDefault="00790833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All items under Section 6</w:t>
      </w:r>
      <w:r w:rsidR="00AD20B5">
        <w:t xml:space="preserve"> should be reviewed, as sometimes</w:t>
      </w:r>
      <w:r>
        <w:t xml:space="preserve"> “or” is used and other times “and/or” is used for similarly structured sentences and activities.</w:t>
      </w:r>
    </w:p>
    <w:p w14:paraId="73F1AAA6" w14:textId="7273748F" w:rsidR="00790833" w:rsidRDefault="001C4017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lastRenderedPageBreak/>
        <w:t xml:space="preserve">Under 6.1.d, </w:t>
      </w:r>
      <w:r w:rsidR="00141B17">
        <w:t>refer to the instructor’s discretion when it comes to group work.</w:t>
      </w:r>
    </w:p>
    <w:p w14:paraId="34E599F0" w14:textId="2D9ED013" w:rsidR="00141B17" w:rsidRDefault="00F76AC6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Was feedback solicited from the Office of the Provost and faculty members when drafting the Code?</w:t>
      </w:r>
    </w:p>
    <w:p w14:paraId="51292421" w14:textId="147C1EE6" w:rsidR="00CA2A5A" w:rsidRDefault="00CA2A5A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The Senate had a discussion two years ago about </w:t>
      </w:r>
      <w:r w:rsidR="00D93D3E">
        <w:t xml:space="preserve">a potential definition of plagiarism, specifically as it pertains to AI use. At that point, the Senate decided to wait until the new Code was revised. </w:t>
      </w:r>
      <w:r w:rsidR="00BD6173">
        <w:t>Did such discussions happen when working on the draft?</w:t>
      </w:r>
    </w:p>
    <w:p w14:paraId="16D2BE92" w14:textId="5B380472" w:rsidR="00BD6173" w:rsidRDefault="00E13CF4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Section 6.3.c: Why does</w:t>
      </w:r>
      <w:r w:rsidR="00060F73">
        <w:t xml:space="preserve"> simple possession of the items listed constitute a violation of the Code? We had a similar discussion </w:t>
      </w:r>
      <w:r w:rsidR="00E518FE">
        <w:t>earlier about how possession of calculators does not automatically constitute plagiarism, even if students have them in their backpacks during</w:t>
      </w:r>
      <w:r w:rsidR="00EF3982">
        <w:t xml:space="preserve"> an exam. It was about possession and unauthorized use. Does “possession” need </w:t>
      </w:r>
      <w:r w:rsidR="00E518FE">
        <w:t>clarification?</w:t>
      </w:r>
    </w:p>
    <w:p w14:paraId="1779E043" w14:textId="1684AC6A" w:rsidR="00E518FE" w:rsidRDefault="009038B7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Section 6.3.e: </w:t>
      </w:r>
      <w:r w:rsidR="00E518FE">
        <w:t xml:space="preserve">Need to check with legal what “failing to prevent” entails and how </w:t>
      </w:r>
      <w:r w:rsidR="00AD20B5">
        <w:t>students can</w:t>
      </w:r>
      <w:r w:rsidR="00E518FE">
        <w:t xml:space="preserve"> know that they have taken the necessary steps to not be held liable in such cases.</w:t>
      </w:r>
      <w:r w:rsidR="00817404">
        <w:t xml:space="preserve"> It should be added to the Definitions section so students are aware.</w:t>
      </w:r>
    </w:p>
    <w:p w14:paraId="40CEEA89" w14:textId="11402AD4" w:rsidR="009038B7" w:rsidRDefault="009038B7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Section 6.3.e:</w:t>
      </w:r>
      <w:r w:rsidR="00A00FD2">
        <w:t xml:space="preserve"> Why is this written so broadly? It implies that </w:t>
      </w:r>
      <w:r w:rsidR="001E1108">
        <w:rPr>
          <w:i/>
          <w:iCs/>
        </w:rPr>
        <w:t>any</w:t>
      </w:r>
      <w:r w:rsidR="001E1108">
        <w:t xml:space="preserve"> gathering hosted, organized, or promoted by the student would fall under this category, even if it is at someone’s home and not related to university activities. Does this infringe on </w:t>
      </w:r>
      <w:r w:rsidR="00920A43">
        <w:t>an individual’s rights?</w:t>
      </w:r>
    </w:p>
    <w:p w14:paraId="4290CC99" w14:textId="595B3321" w:rsidR="00E47630" w:rsidRDefault="00E47630" w:rsidP="00E41352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>Do we need to add a definition for Drugs and Other Substances?</w:t>
      </w:r>
    </w:p>
    <w:p w14:paraId="2CBB06A7" w14:textId="4530E320" w:rsidR="00E47630" w:rsidRDefault="0098243A" w:rsidP="000C497B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Why is the language </w:t>
      </w:r>
      <w:r w:rsidR="00E47630">
        <w:t>under 6.7.g slightly different from 6.3.i?</w:t>
      </w:r>
    </w:p>
    <w:p w14:paraId="5C3BAEC6" w14:textId="77777777" w:rsidR="00F01124" w:rsidRDefault="00F01124" w:rsidP="00F01124">
      <w:pPr>
        <w:pStyle w:val="paragraph"/>
        <w:spacing w:before="0" w:beforeAutospacing="0" w:after="0" w:afterAutospacing="0"/>
        <w:jc w:val="both"/>
        <w:textAlignment w:val="baseline"/>
      </w:pPr>
    </w:p>
    <w:p w14:paraId="46835ABA" w14:textId="429B55E9" w:rsidR="009806F3" w:rsidRDefault="00F01124" w:rsidP="00F01124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t>The discussion of the Code of Student Conduct will continue during the next AAC meeting.</w:t>
      </w:r>
    </w:p>
    <w:p w14:paraId="177551AE" w14:textId="77777777" w:rsidR="00F01124" w:rsidRDefault="00F01124" w:rsidP="000126E6">
      <w:pPr>
        <w:pStyle w:val="paragraph"/>
        <w:spacing w:before="0" w:beforeAutospacing="0" w:after="0"/>
        <w:jc w:val="both"/>
        <w:textAlignment w:val="baseline"/>
        <w:rPr>
          <w:rStyle w:val="normaltextrun"/>
          <w:rFonts w:eastAsiaTheme="majorEastAsia"/>
          <w:b/>
          <w:bCs/>
        </w:rPr>
      </w:pPr>
    </w:p>
    <w:p w14:paraId="1A949784" w14:textId="78ACC7AE" w:rsidR="000126E6" w:rsidRPr="00032493" w:rsidRDefault="000126E6" w:rsidP="000126E6">
      <w:pPr>
        <w:pStyle w:val="paragraph"/>
        <w:spacing w:before="0" w:beforeAutospacing="0" w:after="0"/>
        <w:jc w:val="both"/>
        <w:textAlignment w:val="baseline"/>
        <w:rPr>
          <w:sz w:val="18"/>
          <w:szCs w:val="18"/>
        </w:rPr>
      </w:pPr>
      <w:r w:rsidRPr="00032493">
        <w:rPr>
          <w:rStyle w:val="normaltextrun"/>
          <w:rFonts w:eastAsiaTheme="majorEastAsia"/>
          <w:b/>
          <w:bCs/>
        </w:rPr>
        <w:t>Adjourn</w:t>
      </w:r>
      <w:r w:rsidRPr="00032493">
        <w:rPr>
          <w:rStyle w:val="eop"/>
          <w:rFonts w:eastAsiaTheme="majorEastAsia"/>
        </w:rPr>
        <w:t> </w:t>
      </w:r>
    </w:p>
    <w:p w14:paraId="4B714CD5" w14:textId="7928FB72" w:rsidR="00A0152E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</w:t>
      </w:r>
      <w:r w:rsidR="005B7EAD">
        <w:rPr>
          <w:rFonts w:ascii="Times New Roman" w:hAnsi="Times New Roman" w:cs="Times New Roman"/>
        </w:rPr>
        <w:t>Susami</w:t>
      </w:r>
      <w:r w:rsidRPr="00032493">
        <w:rPr>
          <w:rFonts w:ascii="Times New Roman" w:hAnsi="Times New Roman" w:cs="Times New Roman"/>
        </w:rPr>
        <w:t xml:space="preserve"> </w:t>
      </w:r>
    </w:p>
    <w:p w14:paraId="50643D42" w14:textId="0A22057E" w:rsidR="00822603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</w:t>
      </w:r>
      <w:r w:rsidR="00171E88">
        <w:rPr>
          <w:rFonts w:ascii="Times New Roman" w:hAnsi="Times New Roman" w:cs="Times New Roman"/>
        </w:rPr>
        <w:t>Sweedler</w:t>
      </w:r>
      <w:r w:rsidRPr="00032493">
        <w:rPr>
          <w:rFonts w:ascii="Times New Roman" w:hAnsi="Times New Roman" w:cs="Times New Roman"/>
        </w:rPr>
        <w:t xml:space="preserve"> </w:t>
      </w:r>
    </w:p>
    <w:sectPr w:rsidR="00822603" w:rsidRPr="00032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EF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F6445"/>
    <w:multiLevelType w:val="hybridMultilevel"/>
    <w:tmpl w:val="F4B21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54C"/>
    <w:multiLevelType w:val="multilevel"/>
    <w:tmpl w:val="CC6C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51395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81EF6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20869">
    <w:abstractNumId w:val="2"/>
  </w:num>
  <w:num w:numId="2" w16cid:durableId="759258336">
    <w:abstractNumId w:val="3"/>
  </w:num>
  <w:num w:numId="3" w16cid:durableId="1442846037">
    <w:abstractNumId w:val="4"/>
  </w:num>
  <w:num w:numId="4" w16cid:durableId="831991748">
    <w:abstractNumId w:val="0"/>
  </w:num>
  <w:num w:numId="5" w16cid:durableId="14170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E6"/>
    <w:rsid w:val="000126E6"/>
    <w:rsid w:val="00032493"/>
    <w:rsid w:val="00060F73"/>
    <w:rsid w:val="00077058"/>
    <w:rsid w:val="0008265E"/>
    <w:rsid w:val="000B2FEB"/>
    <w:rsid w:val="000B4160"/>
    <w:rsid w:val="000C29C0"/>
    <w:rsid w:val="000C497B"/>
    <w:rsid w:val="00141B17"/>
    <w:rsid w:val="00145D33"/>
    <w:rsid w:val="001546E0"/>
    <w:rsid w:val="00171E88"/>
    <w:rsid w:val="001A2943"/>
    <w:rsid w:val="001C4017"/>
    <w:rsid w:val="001C42EE"/>
    <w:rsid w:val="001D75DF"/>
    <w:rsid w:val="001E1108"/>
    <w:rsid w:val="0022379C"/>
    <w:rsid w:val="00236010"/>
    <w:rsid w:val="002A1D38"/>
    <w:rsid w:val="002A2AF6"/>
    <w:rsid w:val="002E7647"/>
    <w:rsid w:val="00301BE8"/>
    <w:rsid w:val="00314DEA"/>
    <w:rsid w:val="00343021"/>
    <w:rsid w:val="00361889"/>
    <w:rsid w:val="00363EE0"/>
    <w:rsid w:val="00373FD3"/>
    <w:rsid w:val="003941B8"/>
    <w:rsid w:val="003A029E"/>
    <w:rsid w:val="003D4093"/>
    <w:rsid w:val="003F3FE8"/>
    <w:rsid w:val="0047373D"/>
    <w:rsid w:val="0048205E"/>
    <w:rsid w:val="00497E27"/>
    <w:rsid w:val="004A4C7F"/>
    <w:rsid w:val="004B71B2"/>
    <w:rsid w:val="00522740"/>
    <w:rsid w:val="005508BB"/>
    <w:rsid w:val="0057650F"/>
    <w:rsid w:val="00592F4F"/>
    <w:rsid w:val="005A3C0B"/>
    <w:rsid w:val="005B7EAD"/>
    <w:rsid w:val="0061458D"/>
    <w:rsid w:val="006479F8"/>
    <w:rsid w:val="00662D96"/>
    <w:rsid w:val="006A1729"/>
    <w:rsid w:val="006B1037"/>
    <w:rsid w:val="00714CCC"/>
    <w:rsid w:val="007363C4"/>
    <w:rsid w:val="00790833"/>
    <w:rsid w:val="007D1700"/>
    <w:rsid w:val="00817404"/>
    <w:rsid w:val="00822603"/>
    <w:rsid w:val="00864CAE"/>
    <w:rsid w:val="00870082"/>
    <w:rsid w:val="00881363"/>
    <w:rsid w:val="008A3283"/>
    <w:rsid w:val="008D7883"/>
    <w:rsid w:val="009038B7"/>
    <w:rsid w:val="00920A43"/>
    <w:rsid w:val="009806F3"/>
    <w:rsid w:val="0098243A"/>
    <w:rsid w:val="0098517E"/>
    <w:rsid w:val="009C3A9B"/>
    <w:rsid w:val="009D43B0"/>
    <w:rsid w:val="009E361E"/>
    <w:rsid w:val="009F6378"/>
    <w:rsid w:val="00A00B1F"/>
    <w:rsid w:val="00A00FD2"/>
    <w:rsid w:val="00A0152E"/>
    <w:rsid w:val="00A01998"/>
    <w:rsid w:val="00A10C1B"/>
    <w:rsid w:val="00A3439E"/>
    <w:rsid w:val="00A76046"/>
    <w:rsid w:val="00A770EB"/>
    <w:rsid w:val="00AC4A2E"/>
    <w:rsid w:val="00AD20B5"/>
    <w:rsid w:val="00AD5CA3"/>
    <w:rsid w:val="00AE6EA8"/>
    <w:rsid w:val="00B9409F"/>
    <w:rsid w:val="00B963A1"/>
    <w:rsid w:val="00BA6BB1"/>
    <w:rsid w:val="00BB1080"/>
    <w:rsid w:val="00BB4523"/>
    <w:rsid w:val="00BC34EE"/>
    <w:rsid w:val="00BD6173"/>
    <w:rsid w:val="00BF3F44"/>
    <w:rsid w:val="00CA2A5A"/>
    <w:rsid w:val="00CA3CDA"/>
    <w:rsid w:val="00CD04F5"/>
    <w:rsid w:val="00CD4F69"/>
    <w:rsid w:val="00CE0533"/>
    <w:rsid w:val="00CE5EE1"/>
    <w:rsid w:val="00D24D66"/>
    <w:rsid w:val="00D60CFF"/>
    <w:rsid w:val="00D92D0E"/>
    <w:rsid w:val="00D93D3E"/>
    <w:rsid w:val="00D97BB9"/>
    <w:rsid w:val="00DA3128"/>
    <w:rsid w:val="00DB1E23"/>
    <w:rsid w:val="00DB2185"/>
    <w:rsid w:val="00DB6AE9"/>
    <w:rsid w:val="00DE4C36"/>
    <w:rsid w:val="00DF74BA"/>
    <w:rsid w:val="00E051D7"/>
    <w:rsid w:val="00E13CF4"/>
    <w:rsid w:val="00E41352"/>
    <w:rsid w:val="00E47630"/>
    <w:rsid w:val="00E518FE"/>
    <w:rsid w:val="00E554B1"/>
    <w:rsid w:val="00E65626"/>
    <w:rsid w:val="00E91DB7"/>
    <w:rsid w:val="00EF3982"/>
    <w:rsid w:val="00F01124"/>
    <w:rsid w:val="00F04D3B"/>
    <w:rsid w:val="00F15F75"/>
    <w:rsid w:val="00F16294"/>
    <w:rsid w:val="00F24B69"/>
    <w:rsid w:val="00F35B59"/>
    <w:rsid w:val="00F51867"/>
    <w:rsid w:val="00F76AC6"/>
    <w:rsid w:val="00F96BE9"/>
    <w:rsid w:val="00FA1242"/>
    <w:rsid w:val="00FA213F"/>
    <w:rsid w:val="00FC19F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048D"/>
  <w15:chartTrackingRefBased/>
  <w15:docId w15:val="{8DA7981D-D364-4942-8FB0-37323E9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6E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126E6"/>
  </w:style>
  <w:style w:type="character" w:customStyle="1" w:styleId="eop">
    <w:name w:val="eop"/>
    <w:basedOn w:val="DefaultParagraphFont"/>
    <w:rsid w:val="000126E6"/>
  </w:style>
  <w:style w:type="paragraph" w:styleId="ListBullet">
    <w:name w:val="List Bullet"/>
    <w:basedOn w:val="Normal"/>
    <w:uiPriority w:val="99"/>
    <w:unhideWhenUsed/>
    <w:rsid w:val="0047373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119</cp:revision>
  <dcterms:created xsi:type="dcterms:W3CDTF">2026-01-21T23:24:00Z</dcterms:created>
  <dcterms:modified xsi:type="dcterms:W3CDTF">2026-03-23T13:47:00Z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aaf10dc7-dd26-4f4a-9ced-6548593bcb4a</vt:lpwstr>
  </property>
</Properties>
</file>