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28" w:rsidRPr="004E6B25" w:rsidRDefault="00E25328" w:rsidP="00E25328">
      <w:pPr>
        <w:jc w:val="center"/>
        <w:rPr>
          <w:b/>
          <w:sz w:val="32"/>
          <w:szCs w:val="32"/>
        </w:rPr>
      </w:pPr>
      <w:r w:rsidRPr="004E6B25">
        <w:rPr>
          <w:b/>
          <w:sz w:val="32"/>
          <w:szCs w:val="32"/>
        </w:rPr>
        <w:t>Academic Affairs Committee</w:t>
      </w:r>
    </w:p>
    <w:p w:rsidR="00E25328" w:rsidRDefault="004B6501" w:rsidP="00E25328">
      <w:pPr>
        <w:jc w:val="center"/>
      </w:pPr>
      <w:r>
        <w:t xml:space="preserve">Meeting </w:t>
      </w:r>
      <w:r w:rsidR="00DE29A3">
        <w:t xml:space="preserve">Minutes </w:t>
      </w:r>
      <w:r>
        <w:t>#</w:t>
      </w:r>
      <w:r w:rsidR="009678D9">
        <w:t>4</w:t>
      </w:r>
    </w:p>
    <w:p w:rsidR="00E25328" w:rsidRDefault="00E25328" w:rsidP="00E25328"/>
    <w:p w:rsidR="00E25328" w:rsidRPr="00BC3901" w:rsidRDefault="00E25328" w:rsidP="00E25328">
      <w:pPr>
        <w:rPr>
          <w:b/>
        </w:rPr>
      </w:pPr>
      <w:r w:rsidRPr="00BC3901">
        <w:rPr>
          <w:b/>
        </w:rPr>
        <w:t xml:space="preserve">Date: </w:t>
      </w:r>
      <w:r w:rsidR="0056563D" w:rsidRPr="00BC3901">
        <w:rPr>
          <w:b/>
        </w:rPr>
        <w:t xml:space="preserve">October </w:t>
      </w:r>
      <w:r w:rsidR="00590416" w:rsidRPr="00BC3901">
        <w:rPr>
          <w:b/>
        </w:rPr>
        <w:t>25</w:t>
      </w:r>
      <w:r w:rsidR="004B6501" w:rsidRPr="00BC3901">
        <w:rPr>
          <w:b/>
        </w:rPr>
        <w:t xml:space="preserve">, 2017 </w:t>
      </w:r>
    </w:p>
    <w:p w:rsidR="00E25328" w:rsidRPr="00BC3901" w:rsidRDefault="00E25328" w:rsidP="00E25328">
      <w:pPr>
        <w:rPr>
          <w:b/>
        </w:rPr>
      </w:pPr>
      <w:r w:rsidRPr="00BC3901">
        <w:rPr>
          <w:b/>
        </w:rPr>
        <w:t xml:space="preserve">Location: </w:t>
      </w:r>
      <w:r w:rsidR="004B6501" w:rsidRPr="00BC3901">
        <w:rPr>
          <w:b/>
        </w:rPr>
        <w:t>3</w:t>
      </w:r>
      <w:r w:rsidR="004B6501" w:rsidRPr="00BC3901">
        <w:rPr>
          <w:b/>
          <w:vertAlign w:val="superscript"/>
        </w:rPr>
        <w:t>rd</w:t>
      </w:r>
      <w:r w:rsidR="004B6501" w:rsidRPr="00BC3901">
        <w:rPr>
          <w:b/>
        </w:rPr>
        <w:t xml:space="preserve"> Floor East Lounge, Bone Student Center </w:t>
      </w:r>
      <w:r w:rsidR="009678D9" w:rsidRPr="00BC3901">
        <w:rPr>
          <w:b/>
        </w:rPr>
        <w:br/>
        <w:t>6:00 pm</w:t>
      </w:r>
    </w:p>
    <w:p w:rsidR="00E25328" w:rsidRDefault="00E25328" w:rsidP="00E25328">
      <w:pPr>
        <w:rPr>
          <w:color w:val="000000" w:themeColor="text1"/>
        </w:rPr>
      </w:pPr>
    </w:p>
    <w:p w:rsidR="004B6501" w:rsidRPr="00E1445A" w:rsidRDefault="00E25328" w:rsidP="004B6501">
      <w:pPr>
        <w:pStyle w:val="ListParagraph"/>
        <w:numPr>
          <w:ilvl w:val="0"/>
          <w:numId w:val="1"/>
        </w:numPr>
        <w:overflowPunct w:val="0"/>
        <w:autoSpaceDE w:val="0"/>
        <w:autoSpaceDN w:val="0"/>
        <w:adjustRightInd w:val="0"/>
        <w:textAlignment w:val="baseline"/>
        <w:rPr>
          <w:b/>
          <w:color w:val="000000" w:themeColor="text1"/>
        </w:rPr>
      </w:pPr>
      <w:r w:rsidRPr="00E1445A">
        <w:rPr>
          <w:b/>
          <w:bCs/>
          <w:sz w:val="22"/>
          <w:szCs w:val="22"/>
        </w:rPr>
        <w:t xml:space="preserve">CALL TO ORDER: </w:t>
      </w:r>
    </w:p>
    <w:p w:rsidR="0056563D" w:rsidRPr="00DE29A3" w:rsidRDefault="0056563D" w:rsidP="0056563D">
      <w:pPr>
        <w:pStyle w:val="ListParagraph"/>
        <w:numPr>
          <w:ilvl w:val="0"/>
          <w:numId w:val="1"/>
        </w:numPr>
        <w:overflowPunct w:val="0"/>
        <w:autoSpaceDE w:val="0"/>
        <w:autoSpaceDN w:val="0"/>
        <w:adjustRightInd w:val="0"/>
        <w:textAlignment w:val="baseline"/>
        <w:rPr>
          <w:b/>
          <w:color w:val="000000" w:themeColor="text1"/>
        </w:rPr>
      </w:pPr>
      <w:r w:rsidRPr="00E1445A">
        <w:rPr>
          <w:b/>
          <w:bCs/>
          <w:sz w:val="22"/>
          <w:szCs w:val="22"/>
        </w:rPr>
        <w:t xml:space="preserve">ROLL: </w:t>
      </w:r>
      <w:r w:rsidRPr="00DE29A3">
        <w:rPr>
          <w:color w:val="000000" w:themeColor="text1"/>
        </w:rPr>
        <w:t>Committee members: L</w:t>
      </w:r>
      <w:r w:rsidRPr="00BC3901">
        <w:rPr>
          <w:color w:val="000000" w:themeColor="text1"/>
        </w:rPr>
        <w:t xml:space="preserve">ucey, </w:t>
      </w:r>
      <w:proofErr w:type="spellStart"/>
      <w:r w:rsidRPr="00BC3901">
        <w:rPr>
          <w:color w:val="000000" w:themeColor="text1"/>
        </w:rPr>
        <w:t>Haugo</w:t>
      </w:r>
      <w:proofErr w:type="spellEnd"/>
      <w:r w:rsidRPr="00BC3901">
        <w:rPr>
          <w:color w:val="000000" w:themeColor="text1"/>
        </w:rPr>
        <w:t xml:space="preserve">, </w:t>
      </w:r>
      <w:proofErr w:type="spellStart"/>
      <w:r w:rsidRPr="00BC3901">
        <w:rPr>
          <w:color w:val="000000" w:themeColor="text1"/>
        </w:rPr>
        <w:t>Lonbom</w:t>
      </w:r>
      <w:proofErr w:type="spellEnd"/>
      <w:r w:rsidRPr="00BC3901">
        <w:rPr>
          <w:color w:val="000000" w:themeColor="text1"/>
        </w:rPr>
        <w:t xml:space="preserve">, Nichols, </w:t>
      </w:r>
      <w:proofErr w:type="spellStart"/>
      <w:r w:rsidRPr="00BC3901">
        <w:rPr>
          <w:color w:val="000000" w:themeColor="text1"/>
        </w:rPr>
        <w:t>Grzanich</w:t>
      </w:r>
      <w:proofErr w:type="spellEnd"/>
      <w:r w:rsidRPr="00BC3901">
        <w:rPr>
          <w:color w:val="000000" w:themeColor="text1"/>
        </w:rPr>
        <w:t xml:space="preserve">, Pancrazio, </w:t>
      </w:r>
      <w:proofErr w:type="spellStart"/>
      <w:r w:rsidRPr="00BC3901">
        <w:rPr>
          <w:color w:val="000000" w:themeColor="text1"/>
        </w:rPr>
        <w:t>Stripeik</w:t>
      </w:r>
      <w:proofErr w:type="spellEnd"/>
      <w:r w:rsidRPr="00BC3901">
        <w:rPr>
          <w:color w:val="000000" w:themeColor="text1"/>
        </w:rPr>
        <w:t xml:space="preserve">, </w:t>
      </w:r>
      <w:proofErr w:type="spellStart"/>
      <w:r w:rsidRPr="00BC3901">
        <w:rPr>
          <w:color w:val="000000" w:themeColor="text1"/>
        </w:rPr>
        <w:t>Chirayath</w:t>
      </w:r>
      <w:proofErr w:type="spellEnd"/>
      <w:r w:rsidRPr="00BC3901">
        <w:rPr>
          <w:color w:val="000000" w:themeColor="text1"/>
        </w:rPr>
        <w:t>, Porter</w:t>
      </w:r>
      <w:r w:rsidRPr="00C602D7">
        <w:rPr>
          <w:b/>
          <w:i/>
          <w:color w:val="000000" w:themeColor="text1"/>
        </w:rPr>
        <w:t xml:space="preserve">, </w:t>
      </w:r>
      <w:r w:rsidRPr="00DE29A3">
        <w:rPr>
          <w:b/>
          <w:color w:val="000000" w:themeColor="text1"/>
          <w:u w:val="single"/>
        </w:rPr>
        <w:t>Smith</w:t>
      </w:r>
      <w:r w:rsidRPr="00BC3901">
        <w:rPr>
          <w:color w:val="000000" w:themeColor="text1"/>
        </w:rPr>
        <w:t xml:space="preserve">, </w:t>
      </w:r>
      <w:r w:rsidRPr="00BC3901">
        <w:rPr>
          <w:i/>
          <w:color w:val="000000" w:themeColor="text1"/>
        </w:rPr>
        <w:t>Jawahar</w:t>
      </w:r>
      <w:r w:rsidRPr="00BC3901">
        <w:rPr>
          <w:color w:val="000000" w:themeColor="text1"/>
        </w:rPr>
        <w:t xml:space="preserve">, UCC Liaison </w:t>
      </w:r>
      <w:r w:rsidRPr="00BC3901">
        <w:rPr>
          <w:i/>
          <w:color w:val="000000" w:themeColor="text1"/>
        </w:rPr>
        <w:t>Geoffrey Duce</w:t>
      </w:r>
      <w:r w:rsidRPr="00BC3901">
        <w:rPr>
          <w:color w:val="000000" w:themeColor="text1"/>
        </w:rPr>
        <w:t xml:space="preserve"> (Note: quorum is 6 voting members; bold and underline=absent; italic=ex-officio)</w:t>
      </w:r>
    </w:p>
    <w:p w:rsidR="00DE29A3" w:rsidRPr="009050D1" w:rsidRDefault="00DE29A3" w:rsidP="0056563D">
      <w:pPr>
        <w:pStyle w:val="ListParagraph"/>
        <w:numPr>
          <w:ilvl w:val="0"/>
          <w:numId w:val="1"/>
        </w:numPr>
        <w:overflowPunct w:val="0"/>
        <w:autoSpaceDE w:val="0"/>
        <w:autoSpaceDN w:val="0"/>
        <w:adjustRightInd w:val="0"/>
        <w:textAlignment w:val="baseline"/>
        <w:rPr>
          <w:b/>
          <w:color w:val="000000" w:themeColor="text1"/>
        </w:rPr>
      </w:pPr>
      <w:r>
        <w:rPr>
          <w:b/>
          <w:bCs/>
          <w:sz w:val="22"/>
          <w:szCs w:val="22"/>
        </w:rPr>
        <w:t>Program:</w:t>
      </w:r>
      <w:r>
        <w:rPr>
          <w:b/>
          <w:color w:val="000000" w:themeColor="text1"/>
        </w:rPr>
        <w:t xml:space="preserve"> </w:t>
      </w:r>
      <w:r w:rsidRPr="00DE29A3">
        <w:rPr>
          <w:color w:val="000000" w:themeColor="text1"/>
        </w:rPr>
        <w:t xml:space="preserve">invited guest Dr. Deborah </w:t>
      </w:r>
      <w:proofErr w:type="spellStart"/>
      <w:r w:rsidRPr="00DE29A3">
        <w:rPr>
          <w:color w:val="000000" w:themeColor="text1"/>
        </w:rPr>
        <w:t>Garrahy</w:t>
      </w:r>
      <w:proofErr w:type="spellEnd"/>
      <w:r w:rsidRPr="00DE29A3">
        <w:rPr>
          <w:color w:val="000000" w:themeColor="text1"/>
        </w:rPr>
        <w:t xml:space="preserve">, Director of the Cecilia J. </w:t>
      </w:r>
      <w:proofErr w:type="spellStart"/>
      <w:r w:rsidRPr="00DE29A3">
        <w:rPr>
          <w:color w:val="000000" w:themeColor="text1"/>
        </w:rPr>
        <w:t>Lauby</w:t>
      </w:r>
      <w:proofErr w:type="spellEnd"/>
      <w:r w:rsidRPr="00DE29A3">
        <w:rPr>
          <w:color w:val="000000" w:themeColor="text1"/>
        </w:rPr>
        <w:t xml:space="preserve"> Teacher Education Center and member of the Council of Teacher Education</w:t>
      </w:r>
      <w:r>
        <w:rPr>
          <w:color w:val="000000" w:themeColor="text1"/>
        </w:rPr>
        <w:t xml:space="preserve">. </w:t>
      </w:r>
    </w:p>
    <w:p w:rsidR="009050D1" w:rsidRPr="00BC3901" w:rsidRDefault="009050D1" w:rsidP="009050D1">
      <w:pPr>
        <w:pStyle w:val="ListParagraph"/>
        <w:numPr>
          <w:ilvl w:val="1"/>
          <w:numId w:val="1"/>
        </w:numPr>
        <w:overflowPunct w:val="0"/>
        <w:autoSpaceDE w:val="0"/>
        <w:autoSpaceDN w:val="0"/>
        <w:adjustRightInd w:val="0"/>
        <w:textAlignment w:val="baseline"/>
        <w:rPr>
          <w:b/>
          <w:bCs/>
          <w:sz w:val="22"/>
          <w:szCs w:val="22"/>
        </w:rPr>
      </w:pPr>
      <w:r w:rsidRPr="00BC3901">
        <w:rPr>
          <w:b/>
          <w:bCs/>
          <w:sz w:val="22"/>
          <w:szCs w:val="22"/>
        </w:rPr>
        <w:t xml:space="preserve">Follow up on the Annual Report Council for Teacher Education </w:t>
      </w:r>
    </w:p>
    <w:p w:rsidR="009050D1" w:rsidRPr="009050D1" w:rsidRDefault="009050D1" w:rsidP="009050D1">
      <w:pPr>
        <w:pStyle w:val="ListParagraph"/>
        <w:numPr>
          <w:ilvl w:val="2"/>
          <w:numId w:val="1"/>
        </w:numPr>
        <w:overflowPunct w:val="0"/>
        <w:autoSpaceDE w:val="0"/>
        <w:autoSpaceDN w:val="0"/>
        <w:adjustRightInd w:val="0"/>
        <w:textAlignment w:val="baseline"/>
        <w:rPr>
          <w:b/>
          <w:color w:val="000000" w:themeColor="text1"/>
        </w:rPr>
      </w:pPr>
      <w:r w:rsidRPr="00BC3901">
        <w:rPr>
          <w:b/>
          <w:bCs/>
          <w:sz w:val="22"/>
          <w:szCs w:val="22"/>
        </w:rPr>
        <w:t xml:space="preserve">Dispositions and </w:t>
      </w:r>
      <w:proofErr w:type="spellStart"/>
      <w:r w:rsidRPr="00BC3901">
        <w:rPr>
          <w:b/>
          <w:bCs/>
          <w:sz w:val="22"/>
          <w:szCs w:val="22"/>
        </w:rPr>
        <w:t>edDispositions</w:t>
      </w:r>
      <w:proofErr w:type="spellEnd"/>
    </w:p>
    <w:p w:rsidR="00DE29A3" w:rsidRDefault="00DE29A3" w:rsidP="00DE29A3">
      <w:pPr>
        <w:pStyle w:val="ListParagraph"/>
        <w:overflowPunct w:val="0"/>
        <w:autoSpaceDE w:val="0"/>
        <w:autoSpaceDN w:val="0"/>
        <w:adjustRightInd w:val="0"/>
        <w:textAlignment w:val="baseline"/>
        <w:rPr>
          <w:bCs/>
          <w:sz w:val="22"/>
          <w:szCs w:val="22"/>
        </w:rPr>
      </w:pPr>
      <w:r>
        <w:rPr>
          <w:bCs/>
          <w:sz w:val="22"/>
          <w:szCs w:val="22"/>
        </w:rPr>
        <w:t xml:space="preserve">Dr. </w:t>
      </w:r>
      <w:proofErr w:type="spellStart"/>
      <w:r>
        <w:rPr>
          <w:bCs/>
          <w:sz w:val="22"/>
          <w:szCs w:val="22"/>
        </w:rPr>
        <w:t>Garrahy</w:t>
      </w:r>
      <w:proofErr w:type="spellEnd"/>
      <w:r>
        <w:rPr>
          <w:bCs/>
          <w:sz w:val="22"/>
          <w:szCs w:val="22"/>
        </w:rPr>
        <w:t xml:space="preserve"> was present to discuss the differences between </w:t>
      </w:r>
      <w:proofErr w:type="spellStart"/>
      <w:r>
        <w:rPr>
          <w:bCs/>
          <w:sz w:val="22"/>
          <w:szCs w:val="22"/>
        </w:rPr>
        <w:t>edDispositions</w:t>
      </w:r>
      <w:proofErr w:type="spellEnd"/>
      <w:r>
        <w:rPr>
          <w:bCs/>
          <w:sz w:val="22"/>
          <w:szCs w:val="22"/>
        </w:rPr>
        <w:t xml:space="preserve"> and Dispositions Concerns, the charge of the CTE, and the governance process by which the </w:t>
      </w:r>
      <w:proofErr w:type="spellStart"/>
      <w:r>
        <w:rPr>
          <w:bCs/>
          <w:sz w:val="22"/>
          <w:szCs w:val="22"/>
        </w:rPr>
        <w:t>edDispositons</w:t>
      </w:r>
      <w:proofErr w:type="spellEnd"/>
      <w:r>
        <w:rPr>
          <w:bCs/>
          <w:sz w:val="22"/>
          <w:szCs w:val="22"/>
        </w:rPr>
        <w:t xml:space="preserve"> segment of the accreditation report was adopted. </w:t>
      </w:r>
    </w:p>
    <w:p w:rsidR="000A3ADE" w:rsidRDefault="00DE29A3" w:rsidP="000A3ADE">
      <w:pPr>
        <w:ind w:left="720"/>
        <w:rPr>
          <w:bCs/>
          <w:sz w:val="22"/>
          <w:szCs w:val="22"/>
        </w:rPr>
      </w:pPr>
      <w:r w:rsidRPr="000A3ADE">
        <w:rPr>
          <w:bCs/>
          <w:sz w:val="22"/>
          <w:szCs w:val="22"/>
        </w:rPr>
        <w:t xml:space="preserve">Pancrazio: In response to the question </w:t>
      </w:r>
      <w:r w:rsidR="009050D1" w:rsidRPr="000A3ADE">
        <w:rPr>
          <w:bCs/>
          <w:sz w:val="22"/>
          <w:szCs w:val="22"/>
        </w:rPr>
        <w:t xml:space="preserve">in the previous meeting asking if the CTE had the authority to mandate or oversee the assessment process for all programs in teacher education, the answer is yes. The Senate Bluebook, section 18, charges the CTE with assessment, and the same paragraph appears in the CTE’s bylaws as Article II, section D, paragraph 6. It is the CTE’s charge to “develop or assure the development of assessment plans related to teacher education as mandated by the University, State, and NCATE or as advocated by the Council, and to monitor the implementation of these assessment plans” (CTE Bylaws 2-3; Bluebook 32). </w:t>
      </w:r>
      <w:r w:rsidR="00152DB1" w:rsidRPr="000A3ADE">
        <w:rPr>
          <w:bCs/>
          <w:sz w:val="22"/>
          <w:szCs w:val="22"/>
        </w:rPr>
        <w:t xml:space="preserve">Pancrazio also presented the format for the CAEP report outline that calls for the assessment of dispositions. </w:t>
      </w:r>
    </w:p>
    <w:p w:rsidR="000A3ADE" w:rsidRDefault="000A3ADE" w:rsidP="000A3ADE">
      <w:pPr>
        <w:ind w:left="720"/>
        <w:rPr>
          <w:bCs/>
          <w:sz w:val="22"/>
          <w:szCs w:val="22"/>
        </w:rPr>
      </w:pPr>
    </w:p>
    <w:p w:rsidR="00DE29A3" w:rsidRPr="000A3ADE" w:rsidRDefault="000A3ADE" w:rsidP="000A3ADE">
      <w:pPr>
        <w:ind w:left="720"/>
      </w:pPr>
      <w:r>
        <w:rPr>
          <w:bCs/>
          <w:sz w:val="22"/>
          <w:szCs w:val="22"/>
        </w:rPr>
        <w:t>D</w:t>
      </w:r>
      <w:r w:rsidR="009050D1" w:rsidRPr="000A3ADE">
        <w:rPr>
          <w:bCs/>
          <w:sz w:val="22"/>
          <w:szCs w:val="22"/>
        </w:rPr>
        <w:t xml:space="preserve">r. </w:t>
      </w:r>
      <w:proofErr w:type="spellStart"/>
      <w:r w:rsidR="009050D1" w:rsidRPr="000A3ADE">
        <w:rPr>
          <w:bCs/>
          <w:sz w:val="22"/>
          <w:szCs w:val="22"/>
        </w:rPr>
        <w:t>Garrahy</w:t>
      </w:r>
      <w:proofErr w:type="spellEnd"/>
      <w:r w:rsidR="009050D1" w:rsidRPr="000A3ADE">
        <w:rPr>
          <w:bCs/>
          <w:sz w:val="22"/>
          <w:szCs w:val="22"/>
        </w:rPr>
        <w:t xml:space="preserve">: </w:t>
      </w:r>
      <w:r w:rsidR="00DE29A3" w:rsidRPr="000A3ADE">
        <w:rPr>
          <w:bCs/>
          <w:sz w:val="22"/>
          <w:szCs w:val="22"/>
        </w:rPr>
        <w:t xml:space="preserve"> </w:t>
      </w:r>
      <w:r>
        <w:t>Disposition concern process is separate from Ed Dispositions</w:t>
      </w:r>
      <w:r w:rsidR="009050D1">
        <w:t>.</w:t>
      </w:r>
      <w:r>
        <w:t xml:space="preserve"> </w:t>
      </w:r>
      <w:r w:rsidR="00152DB1">
        <w:t xml:space="preserve">Mennonite college of Nursing and Com have dispositions as well, not just </w:t>
      </w:r>
      <w:r>
        <w:t xml:space="preserve">teacher education. </w:t>
      </w:r>
      <w:r w:rsidR="009050D1">
        <w:t xml:space="preserve">The disposition concerns </w:t>
      </w:r>
      <w:r w:rsidR="009050D1">
        <w:t xml:space="preserve">are given </w:t>
      </w:r>
      <w:r w:rsidR="009050D1">
        <w:t xml:space="preserve">to a teacher education candidate </w:t>
      </w:r>
      <w:r w:rsidR="009050D1">
        <w:t xml:space="preserve">when </w:t>
      </w:r>
      <w:r w:rsidR="009050D1">
        <w:t xml:space="preserve">faculty, staff or supervising teacher </w:t>
      </w:r>
      <w:r w:rsidR="009050D1">
        <w:t>has a concern about the prospective teacher</w:t>
      </w:r>
      <w:r w:rsidR="009050D1">
        <w:t>. For example, missing clinicals three times in a row. This process is meant to be instructive and informative, and to build professionalism.  If a student receives three “unresolved” concerns, his or her progress in teacher education is halted</w:t>
      </w:r>
      <w:r w:rsidR="00152DB1">
        <w:t xml:space="preserve">. </w:t>
      </w:r>
      <w:r>
        <w:t xml:space="preserve">Students can resolve the concerns, and have the right to appeal. </w:t>
      </w:r>
      <w:r w:rsidR="00152DB1">
        <w:t xml:space="preserve">96% of the students </w:t>
      </w:r>
      <w:r>
        <w:t xml:space="preserve">in TE </w:t>
      </w:r>
      <w:r w:rsidR="00152DB1">
        <w:t xml:space="preserve">do not receive any of these types of concerns. </w:t>
      </w:r>
      <w:r>
        <w:t xml:space="preserve">This process has been around for over 10 years. </w:t>
      </w:r>
      <w:r w:rsidR="00152DB1">
        <w:t xml:space="preserve">The discussion involving </w:t>
      </w:r>
      <w:r w:rsidR="009050D1">
        <w:t xml:space="preserve">Ed Dispositions </w:t>
      </w:r>
      <w:r>
        <w:t xml:space="preserve">is different and </w:t>
      </w:r>
      <w:r w:rsidR="00152DB1">
        <w:t xml:space="preserve">has been </w:t>
      </w:r>
      <w:r w:rsidR="009050D1">
        <w:t>in process for four years</w:t>
      </w:r>
      <w:r w:rsidR="00152DB1">
        <w:t xml:space="preserve">, and came to the CTE spring. </w:t>
      </w:r>
      <w:r>
        <w:t xml:space="preserve">This is part of the CAEP assessment that provides feedback regarding dispositions to all teacher education candidates. </w:t>
      </w:r>
      <w:r w:rsidR="00152DB1">
        <w:t xml:space="preserve">It </w:t>
      </w:r>
      <w:r w:rsidR="009050D1">
        <w:t xml:space="preserve">has been piloted by Roosevelt </w:t>
      </w:r>
      <w:r w:rsidR="00152DB1">
        <w:t>U</w:t>
      </w:r>
      <w:r w:rsidR="009050D1">
        <w:t xml:space="preserve">niversity, </w:t>
      </w:r>
      <w:r w:rsidR="00152DB1">
        <w:t xml:space="preserve">ISU, </w:t>
      </w:r>
      <w:r w:rsidR="009050D1">
        <w:t xml:space="preserve">and </w:t>
      </w:r>
      <w:r w:rsidR="00152DB1">
        <w:t>N</w:t>
      </w:r>
      <w:r w:rsidR="009050D1">
        <w:t xml:space="preserve">ational </w:t>
      </w:r>
      <w:r w:rsidR="00152DB1">
        <w:t>U</w:t>
      </w:r>
      <w:r w:rsidR="009050D1">
        <w:t>niversity</w:t>
      </w:r>
      <w:r w:rsidR="00152DB1">
        <w:t xml:space="preserve">, and is a holistic approach to providing disposition </w:t>
      </w:r>
      <w:r w:rsidR="009050D1">
        <w:t xml:space="preserve">feedback </w:t>
      </w:r>
      <w:r w:rsidR="00152DB1">
        <w:t xml:space="preserve">to </w:t>
      </w:r>
      <w:r w:rsidR="009050D1">
        <w:t>the students</w:t>
      </w:r>
      <w:r w:rsidR="00152DB1">
        <w:t xml:space="preserve">. </w:t>
      </w:r>
      <w:proofErr w:type="gramStart"/>
      <w:r w:rsidR="00152DB1">
        <w:t>In regard to</w:t>
      </w:r>
      <w:proofErr w:type="gramEnd"/>
      <w:r w:rsidR="00152DB1">
        <w:t xml:space="preserve"> the process by which this assessment was adopted, it was presented by the subcommittee on April 18</w:t>
      </w:r>
      <w:r w:rsidR="00152DB1" w:rsidRPr="000A3ADE">
        <w:rPr>
          <w:vertAlign w:val="superscript"/>
        </w:rPr>
        <w:t>th</w:t>
      </w:r>
      <w:r w:rsidR="00152DB1">
        <w:t xml:space="preserve"> </w:t>
      </w:r>
      <w:r w:rsidR="009050D1">
        <w:t>as an information item for discussion</w:t>
      </w:r>
      <w:r w:rsidR="00152DB1">
        <w:t xml:space="preserve">. The </w:t>
      </w:r>
      <w:r w:rsidR="009050D1">
        <w:t xml:space="preserve">Council for </w:t>
      </w:r>
      <w:r w:rsidR="00152DB1">
        <w:t>Teacher E</w:t>
      </w:r>
      <w:r w:rsidR="009050D1">
        <w:t>ducation meets the 1</w:t>
      </w:r>
      <w:r w:rsidR="009050D1" w:rsidRPr="000A3ADE">
        <w:rPr>
          <w:vertAlign w:val="superscript"/>
        </w:rPr>
        <w:t>st</w:t>
      </w:r>
      <w:r w:rsidR="009050D1">
        <w:t xml:space="preserve"> and 3</w:t>
      </w:r>
      <w:r w:rsidR="009050D1" w:rsidRPr="000A3ADE">
        <w:rPr>
          <w:vertAlign w:val="superscript"/>
        </w:rPr>
        <w:t>rd</w:t>
      </w:r>
      <w:r w:rsidR="009050D1">
        <w:t xml:space="preserve"> Tuesday of every month</w:t>
      </w:r>
      <w:r w:rsidR="00152DB1">
        <w:t xml:space="preserve">. On </w:t>
      </w:r>
      <w:r w:rsidR="009050D1">
        <w:t>May 2</w:t>
      </w:r>
      <w:r w:rsidR="009050D1" w:rsidRPr="000A3ADE">
        <w:rPr>
          <w:vertAlign w:val="superscript"/>
        </w:rPr>
        <w:t>nd</w:t>
      </w:r>
      <w:r w:rsidR="009050D1">
        <w:t xml:space="preserve">, </w:t>
      </w:r>
      <w:r w:rsidR="00152DB1">
        <w:t xml:space="preserve">it was </w:t>
      </w:r>
      <w:r w:rsidR="009050D1">
        <w:t>brought as a</w:t>
      </w:r>
      <w:r>
        <w:t>n</w:t>
      </w:r>
      <w:r w:rsidR="009050D1">
        <w:t xml:space="preserve"> </w:t>
      </w:r>
      <w:r w:rsidR="00152DB1">
        <w:t xml:space="preserve">action item, it was moved and </w:t>
      </w:r>
      <w:r w:rsidR="009050D1">
        <w:t>seconded</w:t>
      </w:r>
      <w:r w:rsidR="00152DB1">
        <w:t xml:space="preserve">, and </w:t>
      </w:r>
      <w:r w:rsidR="009050D1">
        <w:t xml:space="preserve">approved </w:t>
      </w:r>
      <w:r w:rsidR="00152DB1">
        <w:t xml:space="preserve">unanimously by the CTE. </w:t>
      </w:r>
      <w:r>
        <w:t xml:space="preserve">After Dr. </w:t>
      </w:r>
      <w:proofErr w:type="spellStart"/>
      <w:r>
        <w:t>Garrahy’s</w:t>
      </w:r>
      <w:proofErr w:type="spellEnd"/>
      <w:r>
        <w:t xml:space="preserve"> presentation, Pancrazio </w:t>
      </w:r>
      <w:r>
        <w:lastRenderedPageBreak/>
        <w:t xml:space="preserve">accepted a motion from </w:t>
      </w:r>
      <w:proofErr w:type="spellStart"/>
      <w:r>
        <w:t>Haugo</w:t>
      </w:r>
      <w:proofErr w:type="spellEnd"/>
      <w:r>
        <w:t xml:space="preserve"> to accept the annual report from the CTE. </w:t>
      </w:r>
      <w:proofErr w:type="spellStart"/>
      <w:r w:rsidRPr="00BC3901">
        <w:rPr>
          <w:color w:val="000000" w:themeColor="text1"/>
        </w:rPr>
        <w:t>Stripeik</w:t>
      </w:r>
      <w:proofErr w:type="spellEnd"/>
      <w:r>
        <w:rPr>
          <w:color w:val="000000" w:themeColor="text1"/>
        </w:rPr>
        <w:t xml:space="preserve"> seconded.  Motion passed unanimously. </w:t>
      </w:r>
    </w:p>
    <w:p w:rsidR="006B7BE3" w:rsidRPr="006B7BE3" w:rsidRDefault="00E25328" w:rsidP="004B6501">
      <w:pPr>
        <w:pStyle w:val="ListParagraph"/>
        <w:numPr>
          <w:ilvl w:val="0"/>
          <w:numId w:val="1"/>
        </w:numPr>
        <w:overflowPunct w:val="0"/>
        <w:autoSpaceDE w:val="0"/>
        <w:autoSpaceDN w:val="0"/>
        <w:adjustRightInd w:val="0"/>
        <w:textAlignment w:val="baseline"/>
        <w:rPr>
          <w:b/>
          <w:color w:val="000000" w:themeColor="text1"/>
        </w:rPr>
      </w:pPr>
      <w:r w:rsidRPr="00E1445A">
        <w:rPr>
          <w:b/>
          <w:bCs/>
          <w:sz w:val="22"/>
          <w:szCs w:val="22"/>
        </w:rPr>
        <w:t>APPROVAL OF MINUTES: #</w:t>
      </w:r>
      <w:r w:rsidR="009678D9" w:rsidRPr="00E1445A">
        <w:rPr>
          <w:b/>
          <w:bCs/>
          <w:sz w:val="22"/>
          <w:szCs w:val="22"/>
        </w:rPr>
        <w:t>3</w:t>
      </w:r>
      <w:r w:rsidRPr="00E1445A">
        <w:rPr>
          <w:b/>
          <w:bCs/>
          <w:sz w:val="22"/>
          <w:szCs w:val="22"/>
        </w:rPr>
        <w:t xml:space="preserve">, </w:t>
      </w:r>
      <w:r w:rsidR="000A07DC" w:rsidRPr="00E1445A">
        <w:rPr>
          <w:b/>
          <w:bCs/>
          <w:sz w:val="22"/>
          <w:szCs w:val="22"/>
        </w:rPr>
        <w:t xml:space="preserve">September </w:t>
      </w:r>
      <w:r w:rsidR="0056563D" w:rsidRPr="00E1445A">
        <w:rPr>
          <w:b/>
          <w:bCs/>
          <w:sz w:val="22"/>
          <w:szCs w:val="22"/>
        </w:rPr>
        <w:t>27</w:t>
      </w:r>
      <w:r w:rsidR="004B6501" w:rsidRPr="00E1445A">
        <w:rPr>
          <w:b/>
          <w:bCs/>
          <w:sz w:val="22"/>
          <w:szCs w:val="22"/>
        </w:rPr>
        <w:t>, 2017</w:t>
      </w:r>
    </w:p>
    <w:p w:rsidR="00B92B7D" w:rsidRPr="00E1445A" w:rsidRDefault="006B7BE3" w:rsidP="006B7BE3">
      <w:pPr>
        <w:pStyle w:val="ListParagraph"/>
        <w:numPr>
          <w:ilvl w:val="0"/>
          <w:numId w:val="6"/>
        </w:numPr>
        <w:overflowPunct w:val="0"/>
        <w:autoSpaceDE w:val="0"/>
        <w:autoSpaceDN w:val="0"/>
        <w:adjustRightInd w:val="0"/>
        <w:textAlignment w:val="baseline"/>
        <w:rPr>
          <w:b/>
          <w:color w:val="000000" w:themeColor="text1"/>
        </w:rPr>
      </w:pPr>
      <w:r>
        <w:rPr>
          <w:color w:val="000000" w:themeColor="text1"/>
        </w:rPr>
        <w:t>Approved with the correction of grammatical errors</w:t>
      </w:r>
    </w:p>
    <w:p w:rsidR="000A07DC" w:rsidRPr="00E1445A" w:rsidRDefault="000A07DC" w:rsidP="0056563D">
      <w:pPr>
        <w:pStyle w:val="ListParagraph"/>
        <w:numPr>
          <w:ilvl w:val="0"/>
          <w:numId w:val="1"/>
        </w:numPr>
        <w:overflowPunct w:val="0"/>
        <w:autoSpaceDE w:val="0"/>
        <w:autoSpaceDN w:val="0"/>
        <w:adjustRightInd w:val="0"/>
        <w:textAlignment w:val="baseline"/>
        <w:rPr>
          <w:b/>
          <w:color w:val="000000" w:themeColor="text1"/>
        </w:rPr>
      </w:pPr>
      <w:r w:rsidRPr="00E1445A">
        <w:rPr>
          <w:b/>
          <w:bCs/>
          <w:sz w:val="22"/>
          <w:szCs w:val="22"/>
        </w:rPr>
        <w:t>CONSENT AGENDA</w:t>
      </w:r>
      <w:r w:rsidR="0056563D" w:rsidRPr="00E1445A">
        <w:rPr>
          <w:b/>
          <w:bCs/>
          <w:sz w:val="22"/>
          <w:szCs w:val="22"/>
        </w:rPr>
        <w:t xml:space="preserve">: </w:t>
      </w:r>
    </w:p>
    <w:p w:rsidR="009678D9" w:rsidRPr="00BC3901" w:rsidRDefault="009678D9" w:rsidP="009678D9">
      <w:pPr>
        <w:pStyle w:val="ListParagraph"/>
        <w:numPr>
          <w:ilvl w:val="1"/>
          <w:numId w:val="1"/>
        </w:numPr>
        <w:overflowPunct w:val="0"/>
        <w:autoSpaceDE w:val="0"/>
        <w:autoSpaceDN w:val="0"/>
        <w:adjustRightInd w:val="0"/>
        <w:textAlignment w:val="baseline"/>
        <w:rPr>
          <w:b/>
          <w:color w:val="000000" w:themeColor="text1"/>
        </w:rPr>
      </w:pPr>
      <w:r w:rsidRPr="00BC3901">
        <w:rPr>
          <w:b/>
          <w:bCs/>
          <w:sz w:val="22"/>
          <w:szCs w:val="22"/>
        </w:rPr>
        <w:t>Policy Review: Admissions policy from the catalog</w:t>
      </w:r>
    </w:p>
    <w:p w:rsidR="009678D9" w:rsidRPr="00BC3901" w:rsidRDefault="009678D9" w:rsidP="009678D9">
      <w:pPr>
        <w:pStyle w:val="ListParagraph"/>
        <w:numPr>
          <w:ilvl w:val="1"/>
          <w:numId w:val="1"/>
        </w:numPr>
        <w:overflowPunct w:val="0"/>
        <w:autoSpaceDE w:val="0"/>
        <w:autoSpaceDN w:val="0"/>
        <w:adjustRightInd w:val="0"/>
        <w:textAlignment w:val="baseline"/>
        <w:rPr>
          <w:b/>
          <w:color w:val="000000" w:themeColor="text1"/>
        </w:rPr>
      </w:pPr>
      <w:r w:rsidRPr="00BC3901">
        <w:rPr>
          <w:b/>
          <w:bCs/>
          <w:sz w:val="22"/>
          <w:szCs w:val="22"/>
        </w:rPr>
        <w:t xml:space="preserve">Honors Council Report </w:t>
      </w:r>
    </w:p>
    <w:p w:rsidR="009678D9" w:rsidRPr="00BC3901" w:rsidRDefault="009678D9" w:rsidP="009678D9">
      <w:pPr>
        <w:pStyle w:val="ListParagraph"/>
        <w:numPr>
          <w:ilvl w:val="1"/>
          <w:numId w:val="1"/>
        </w:numPr>
        <w:overflowPunct w:val="0"/>
        <w:autoSpaceDE w:val="0"/>
        <w:autoSpaceDN w:val="0"/>
        <w:adjustRightInd w:val="0"/>
        <w:textAlignment w:val="baseline"/>
        <w:rPr>
          <w:b/>
          <w:color w:val="000000" w:themeColor="text1"/>
        </w:rPr>
      </w:pPr>
      <w:r w:rsidRPr="00BC3901">
        <w:rPr>
          <w:b/>
          <w:bCs/>
          <w:sz w:val="22"/>
          <w:szCs w:val="22"/>
        </w:rPr>
        <w:t>Council of General Education Report 2016 and 2017</w:t>
      </w:r>
    </w:p>
    <w:p w:rsidR="00E25328" w:rsidRPr="00E1445A" w:rsidRDefault="00E25328" w:rsidP="00E25328">
      <w:pPr>
        <w:pStyle w:val="ListParagraph"/>
        <w:numPr>
          <w:ilvl w:val="0"/>
          <w:numId w:val="1"/>
        </w:numPr>
        <w:overflowPunct w:val="0"/>
        <w:autoSpaceDE w:val="0"/>
        <w:autoSpaceDN w:val="0"/>
        <w:adjustRightInd w:val="0"/>
        <w:textAlignment w:val="baseline"/>
        <w:rPr>
          <w:b/>
          <w:bCs/>
          <w:sz w:val="22"/>
          <w:szCs w:val="22"/>
        </w:rPr>
      </w:pPr>
      <w:r w:rsidRPr="00E1445A">
        <w:rPr>
          <w:b/>
          <w:bCs/>
          <w:sz w:val="22"/>
          <w:szCs w:val="22"/>
        </w:rPr>
        <w:t>STANDARD ORDER OF BU</w:t>
      </w:r>
      <w:r w:rsidR="000A07DC" w:rsidRPr="00E1445A">
        <w:rPr>
          <w:b/>
          <w:bCs/>
          <w:sz w:val="22"/>
          <w:szCs w:val="22"/>
        </w:rPr>
        <w:t>SI</w:t>
      </w:r>
      <w:r w:rsidRPr="00E1445A">
        <w:rPr>
          <w:b/>
          <w:bCs/>
          <w:sz w:val="22"/>
          <w:szCs w:val="22"/>
        </w:rPr>
        <w:t xml:space="preserve">NESS </w:t>
      </w:r>
    </w:p>
    <w:p w:rsidR="00A44C0C" w:rsidRPr="00BC3901" w:rsidRDefault="00A44C0C" w:rsidP="004B6501">
      <w:pPr>
        <w:pStyle w:val="ListParagraph"/>
        <w:numPr>
          <w:ilvl w:val="1"/>
          <w:numId w:val="1"/>
        </w:numPr>
        <w:overflowPunct w:val="0"/>
        <w:autoSpaceDE w:val="0"/>
        <w:autoSpaceDN w:val="0"/>
        <w:adjustRightInd w:val="0"/>
        <w:textAlignment w:val="baseline"/>
        <w:rPr>
          <w:b/>
          <w:bCs/>
          <w:sz w:val="22"/>
          <w:szCs w:val="22"/>
        </w:rPr>
      </w:pPr>
      <w:r w:rsidRPr="00BC3901">
        <w:rPr>
          <w:b/>
          <w:bCs/>
          <w:sz w:val="22"/>
          <w:szCs w:val="22"/>
        </w:rPr>
        <w:t xml:space="preserve">Course on Religion for incoming freshmen </w:t>
      </w:r>
    </w:p>
    <w:p w:rsidR="0049791A" w:rsidRDefault="0049791A" w:rsidP="0049791A">
      <w:pPr>
        <w:overflowPunct w:val="0"/>
        <w:autoSpaceDE w:val="0"/>
        <w:autoSpaceDN w:val="0"/>
        <w:adjustRightInd w:val="0"/>
        <w:ind w:left="1080"/>
        <w:textAlignment w:val="baseline"/>
        <w:rPr>
          <w:bCs/>
          <w:sz w:val="22"/>
          <w:szCs w:val="22"/>
        </w:rPr>
      </w:pPr>
      <w:r>
        <w:rPr>
          <w:bCs/>
          <w:sz w:val="22"/>
          <w:szCs w:val="22"/>
        </w:rPr>
        <w:t xml:space="preserve">Currently, the options are limited. Incoming freshmen have limited access to 200 level courses. </w:t>
      </w:r>
      <w:r w:rsidR="000A3ADE" w:rsidRPr="0049791A">
        <w:rPr>
          <w:bCs/>
          <w:sz w:val="22"/>
          <w:szCs w:val="22"/>
        </w:rPr>
        <w:t xml:space="preserve">What should the </w:t>
      </w:r>
      <w:r w:rsidRPr="0049791A">
        <w:rPr>
          <w:bCs/>
          <w:sz w:val="22"/>
          <w:szCs w:val="22"/>
        </w:rPr>
        <w:t>course of action be? Consider the freshme</w:t>
      </w:r>
      <w:r w:rsidR="00E1445A" w:rsidRPr="0049791A">
        <w:rPr>
          <w:bCs/>
          <w:sz w:val="22"/>
          <w:szCs w:val="22"/>
        </w:rPr>
        <w:t xml:space="preserve">n writing program </w:t>
      </w:r>
      <w:r w:rsidRPr="0049791A">
        <w:rPr>
          <w:bCs/>
          <w:sz w:val="22"/>
          <w:szCs w:val="22"/>
        </w:rPr>
        <w:t xml:space="preserve">that may </w:t>
      </w:r>
      <w:r w:rsidR="00E1445A" w:rsidRPr="0049791A">
        <w:rPr>
          <w:bCs/>
          <w:sz w:val="22"/>
          <w:szCs w:val="22"/>
        </w:rPr>
        <w:t>undergo some changes</w:t>
      </w:r>
      <w:r w:rsidRPr="0049791A">
        <w:rPr>
          <w:bCs/>
          <w:sz w:val="22"/>
          <w:szCs w:val="22"/>
        </w:rPr>
        <w:t>; partnering with U-College for common experience like Passages to p</w:t>
      </w:r>
      <w:r w:rsidR="00E1445A" w:rsidRPr="0049791A">
        <w:rPr>
          <w:bCs/>
          <w:sz w:val="22"/>
          <w:szCs w:val="22"/>
        </w:rPr>
        <w:t>rovide some type of program to offer students where they can learn about different cultures and the similarities of those as well</w:t>
      </w:r>
      <w:r w:rsidRPr="0049791A">
        <w:rPr>
          <w:bCs/>
          <w:sz w:val="22"/>
          <w:szCs w:val="22"/>
        </w:rPr>
        <w:t xml:space="preserve">; </w:t>
      </w:r>
      <w:r>
        <w:rPr>
          <w:bCs/>
          <w:sz w:val="22"/>
          <w:szCs w:val="22"/>
        </w:rPr>
        <w:t>e</w:t>
      </w:r>
      <w:r w:rsidR="00BC3901" w:rsidRPr="0049791A">
        <w:rPr>
          <w:bCs/>
          <w:sz w:val="22"/>
          <w:szCs w:val="22"/>
        </w:rPr>
        <w:t>xpanding the options, not necessarily singling in on a certain area such as religion</w:t>
      </w:r>
      <w:r>
        <w:rPr>
          <w:bCs/>
          <w:sz w:val="22"/>
          <w:szCs w:val="22"/>
        </w:rPr>
        <w:t xml:space="preserve">. </w:t>
      </w:r>
    </w:p>
    <w:p w:rsidR="00BC3901" w:rsidRPr="00E1445A" w:rsidRDefault="00BC3901" w:rsidP="0049791A">
      <w:pPr>
        <w:pStyle w:val="ListParagraph"/>
        <w:numPr>
          <w:ilvl w:val="1"/>
          <w:numId w:val="1"/>
        </w:numPr>
        <w:overflowPunct w:val="0"/>
        <w:autoSpaceDE w:val="0"/>
        <w:autoSpaceDN w:val="0"/>
        <w:adjustRightInd w:val="0"/>
        <w:textAlignment w:val="baseline"/>
        <w:rPr>
          <w:bCs/>
          <w:sz w:val="22"/>
          <w:szCs w:val="22"/>
        </w:rPr>
      </w:pPr>
      <w:r w:rsidRPr="0049791A">
        <w:rPr>
          <w:bCs/>
          <w:sz w:val="22"/>
          <w:szCs w:val="22"/>
        </w:rPr>
        <w:t>Connect with campus climate committee about concerns</w:t>
      </w:r>
      <w:r w:rsidR="0049791A">
        <w:rPr>
          <w:bCs/>
          <w:sz w:val="22"/>
          <w:szCs w:val="22"/>
        </w:rPr>
        <w:t xml:space="preserve"> and invited Jon Rosenthal, Doris Houston, and Sally Parry to next meeting. </w:t>
      </w:r>
    </w:p>
    <w:p w:rsidR="00271741" w:rsidRPr="00E4386F" w:rsidRDefault="001819EF" w:rsidP="00271741">
      <w:pPr>
        <w:pStyle w:val="ListParagraph"/>
        <w:numPr>
          <w:ilvl w:val="1"/>
          <w:numId w:val="1"/>
        </w:numPr>
        <w:overflowPunct w:val="0"/>
        <w:autoSpaceDE w:val="0"/>
        <w:autoSpaceDN w:val="0"/>
        <w:adjustRightInd w:val="0"/>
        <w:textAlignment w:val="baseline"/>
        <w:rPr>
          <w:b/>
          <w:color w:val="000000" w:themeColor="text1"/>
        </w:rPr>
      </w:pPr>
      <w:r w:rsidRPr="00BC3901">
        <w:rPr>
          <w:b/>
          <w:bCs/>
          <w:sz w:val="22"/>
          <w:szCs w:val="22"/>
        </w:rPr>
        <w:t xml:space="preserve">Follow up </w:t>
      </w:r>
      <w:r w:rsidR="00590416" w:rsidRPr="00BC3901">
        <w:rPr>
          <w:b/>
          <w:bCs/>
          <w:sz w:val="22"/>
          <w:szCs w:val="22"/>
        </w:rPr>
        <w:t>Changes to the structure of General Education and Changes to the Graduation Requirements</w:t>
      </w:r>
    </w:p>
    <w:p w:rsidR="00E4386F" w:rsidRPr="00E4386F" w:rsidRDefault="0049791A" w:rsidP="0049791A">
      <w:pPr>
        <w:pStyle w:val="ListParagraph"/>
        <w:overflowPunct w:val="0"/>
        <w:autoSpaceDE w:val="0"/>
        <w:autoSpaceDN w:val="0"/>
        <w:adjustRightInd w:val="0"/>
        <w:ind w:left="1440"/>
        <w:textAlignment w:val="baseline"/>
        <w:rPr>
          <w:b/>
          <w:color w:val="000000" w:themeColor="text1"/>
        </w:rPr>
      </w:pPr>
      <w:r>
        <w:rPr>
          <w:color w:val="000000" w:themeColor="text1"/>
        </w:rPr>
        <w:t xml:space="preserve">Policies are still circulating. </w:t>
      </w:r>
    </w:p>
    <w:p w:rsidR="00271741" w:rsidRDefault="0097113F" w:rsidP="00271741">
      <w:pPr>
        <w:pStyle w:val="ListParagraph"/>
        <w:numPr>
          <w:ilvl w:val="1"/>
          <w:numId w:val="1"/>
        </w:numPr>
        <w:overflowPunct w:val="0"/>
        <w:autoSpaceDE w:val="0"/>
        <w:autoSpaceDN w:val="0"/>
        <w:adjustRightInd w:val="0"/>
        <w:textAlignment w:val="baseline"/>
        <w:rPr>
          <w:b/>
          <w:bCs/>
          <w:sz w:val="22"/>
          <w:szCs w:val="22"/>
        </w:rPr>
      </w:pPr>
      <w:r w:rsidRPr="00BC3901">
        <w:rPr>
          <w:b/>
          <w:bCs/>
          <w:sz w:val="22"/>
          <w:szCs w:val="22"/>
        </w:rPr>
        <w:t xml:space="preserve"> </w:t>
      </w:r>
      <w:r w:rsidR="001819EF" w:rsidRPr="00BC3901">
        <w:rPr>
          <w:b/>
          <w:bCs/>
          <w:sz w:val="22"/>
          <w:szCs w:val="22"/>
        </w:rPr>
        <w:t xml:space="preserve">Follow up </w:t>
      </w:r>
      <w:r w:rsidR="009678D9" w:rsidRPr="00BC3901">
        <w:rPr>
          <w:b/>
          <w:bCs/>
          <w:sz w:val="22"/>
          <w:szCs w:val="22"/>
        </w:rPr>
        <w:t xml:space="preserve">OISP Global Learning Outcomes </w:t>
      </w:r>
    </w:p>
    <w:p w:rsidR="0049791A" w:rsidRPr="0049791A" w:rsidRDefault="0049791A" w:rsidP="0049791A">
      <w:pPr>
        <w:pStyle w:val="ListParagraph"/>
        <w:overflowPunct w:val="0"/>
        <w:autoSpaceDE w:val="0"/>
        <w:autoSpaceDN w:val="0"/>
        <w:adjustRightInd w:val="0"/>
        <w:ind w:left="1440"/>
        <w:textAlignment w:val="baseline"/>
        <w:rPr>
          <w:bCs/>
          <w:sz w:val="22"/>
          <w:szCs w:val="22"/>
        </w:rPr>
      </w:pPr>
      <w:r>
        <w:rPr>
          <w:bCs/>
          <w:sz w:val="22"/>
          <w:szCs w:val="22"/>
        </w:rPr>
        <w:t xml:space="preserve">In process. </w:t>
      </w:r>
      <w:bookmarkStart w:id="0" w:name="_GoBack"/>
      <w:bookmarkEnd w:id="0"/>
    </w:p>
    <w:p w:rsidR="0049791A" w:rsidRPr="0049791A" w:rsidRDefault="0049791A" w:rsidP="0049791A">
      <w:pPr>
        <w:overflowPunct w:val="0"/>
        <w:autoSpaceDE w:val="0"/>
        <w:autoSpaceDN w:val="0"/>
        <w:adjustRightInd w:val="0"/>
        <w:ind w:left="720"/>
        <w:textAlignment w:val="baseline"/>
        <w:rPr>
          <w:b/>
          <w:bCs/>
          <w:sz w:val="22"/>
          <w:szCs w:val="22"/>
        </w:rPr>
      </w:pPr>
    </w:p>
    <w:p w:rsidR="004A114C" w:rsidRPr="00BC3901" w:rsidRDefault="004A114C" w:rsidP="00E25328">
      <w:pPr>
        <w:pStyle w:val="ListParagraph"/>
        <w:numPr>
          <w:ilvl w:val="0"/>
          <w:numId w:val="1"/>
        </w:numPr>
        <w:overflowPunct w:val="0"/>
        <w:autoSpaceDE w:val="0"/>
        <w:autoSpaceDN w:val="0"/>
        <w:adjustRightInd w:val="0"/>
        <w:textAlignment w:val="baseline"/>
        <w:rPr>
          <w:b/>
          <w:bCs/>
          <w:sz w:val="22"/>
          <w:szCs w:val="22"/>
        </w:rPr>
      </w:pPr>
      <w:r w:rsidRPr="00BC3901">
        <w:rPr>
          <w:b/>
          <w:bCs/>
          <w:sz w:val="22"/>
          <w:szCs w:val="22"/>
        </w:rPr>
        <w:t xml:space="preserve">Good of the Order:  </w:t>
      </w:r>
    </w:p>
    <w:p w:rsidR="000A07DC" w:rsidRPr="00BC3901" w:rsidRDefault="000A07DC" w:rsidP="00E25328">
      <w:pPr>
        <w:pStyle w:val="ListParagraph"/>
        <w:numPr>
          <w:ilvl w:val="0"/>
          <w:numId w:val="1"/>
        </w:numPr>
        <w:overflowPunct w:val="0"/>
        <w:autoSpaceDE w:val="0"/>
        <w:autoSpaceDN w:val="0"/>
        <w:adjustRightInd w:val="0"/>
        <w:textAlignment w:val="baseline"/>
        <w:rPr>
          <w:b/>
          <w:bCs/>
          <w:sz w:val="22"/>
          <w:szCs w:val="22"/>
        </w:rPr>
      </w:pPr>
      <w:r w:rsidRPr="00BC3901">
        <w:rPr>
          <w:b/>
          <w:bCs/>
          <w:sz w:val="22"/>
          <w:szCs w:val="22"/>
        </w:rPr>
        <w:t xml:space="preserve">OLD BUSINESS </w:t>
      </w:r>
    </w:p>
    <w:p w:rsidR="0072384B" w:rsidRPr="00BC3901" w:rsidRDefault="0072384B" w:rsidP="000A07DC">
      <w:pPr>
        <w:pStyle w:val="ListParagraph"/>
        <w:numPr>
          <w:ilvl w:val="1"/>
          <w:numId w:val="1"/>
        </w:numPr>
        <w:overflowPunct w:val="0"/>
        <w:autoSpaceDE w:val="0"/>
        <w:autoSpaceDN w:val="0"/>
        <w:adjustRightInd w:val="0"/>
        <w:textAlignment w:val="baseline"/>
        <w:rPr>
          <w:b/>
          <w:bCs/>
          <w:sz w:val="22"/>
          <w:szCs w:val="22"/>
        </w:rPr>
      </w:pPr>
      <w:r w:rsidRPr="00BC3901">
        <w:rPr>
          <w:b/>
          <w:bCs/>
          <w:sz w:val="22"/>
          <w:szCs w:val="22"/>
        </w:rPr>
        <w:t>Content for Annual Reports</w:t>
      </w:r>
      <w:r w:rsidR="00CE5DA5" w:rsidRPr="00BC3901">
        <w:rPr>
          <w:b/>
          <w:bCs/>
          <w:sz w:val="22"/>
          <w:szCs w:val="22"/>
        </w:rPr>
        <w:t xml:space="preserve">: narrative that discusses routine activities, and detailed narrative that covers issues that are new; discussion of the processes of shared governance and Open Meetings compliance.  </w:t>
      </w:r>
      <w:r w:rsidRPr="00BC3901">
        <w:rPr>
          <w:b/>
          <w:bCs/>
          <w:sz w:val="22"/>
          <w:szCs w:val="22"/>
        </w:rPr>
        <w:t xml:space="preserve"> </w:t>
      </w:r>
    </w:p>
    <w:p w:rsidR="00CE5DA5" w:rsidRPr="00BC3901" w:rsidRDefault="00E25328" w:rsidP="00CE5DA5">
      <w:pPr>
        <w:pStyle w:val="ListParagraph"/>
        <w:numPr>
          <w:ilvl w:val="0"/>
          <w:numId w:val="1"/>
        </w:numPr>
        <w:overflowPunct w:val="0"/>
        <w:autoSpaceDE w:val="0"/>
        <w:autoSpaceDN w:val="0"/>
        <w:adjustRightInd w:val="0"/>
        <w:textAlignment w:val="baseline"/>
        <w:rPr>
          <w:b/>
          <w:bCs/>
          <w:sz w:val="22"/>
          <w:szCs w:val="22"/>
        </w:rPr>
      </w:pPr>
      <w:r w:rsidRPr="00BC3901">
        <w:rPr>
          <w:b/>
          <w:bCs/>
          <w:sz w:val="22"/>
          <w:szCs w:val="22"/>
        </w:rPr>
        <w:t>ANNOUCEMENTS</w:t>
      </w:r>
      <w:r w:rsidR="00B92B7D" w:rsidRPr="00BC3901">
        <w:rPr>
          <w:b/>
          <w:bCs/>
          <w:sz w:val="22"/>
          <w:szCs w:val="22"/>
        </w:rPr>
        <w:t xml:space="preserve">: </w:t>
      </w:r>
    </w:p>
    <w:p w:rsidR="00E25328" w:rsidRPr="00BC3901" w:rsidRDefault="00E25328" w:rsidP="003F5E18">
      <w:pPr>
        <w:pStyle w:val="ListParagraph"/>
        <w:numPr>
          <w:ilvl w:val="0"/>
          <w:numId w:val="1"/>
        </w:numPr>
        <w:overflowPunct w:val="0"/>
        <w:autoSpaceDE w:val="0"/>
        <w:autoSpaceDN w:val="0"/>
        <w:adjustRightInd w:val="0"/>
        <w:textAlignment w:val="baseline"/>
        <w:rPr>
          <w:b/>
          <w:bCs/>
          <w:sz w:val="22"/>
          <w:szCs w:val="22"/>
        </w:rPr>
      </w:pPr>
      <w:r w:rsidRPr="00BC3901">
        <w:rPr>
          <w:b/>
          <w:bCs/>
          <w:sz w:val="22"/>
          <w:szCs w:val="22"/>
        </w:rPr>
        <w:t xml:space="preserve">PROGRAM: </w:t>
      </w:r>
    </w:p>
    <w:p w:rsidR="00E25328" w:rsidRPr="00BC3901" w:rsidRDefault="00E25328" w:rsidP="00E25328">
      <w:pPr>
        <w:pStyle w:val="ListParagraph"/>
        <w:numPr>
          <w:ilvl w:val="0"/>
          <w:numId w:val="1"/>
        </w:numPr>
        <w:overflowPunct w:val="0"/>
        <w:autoSpaceDE w:val="0"/>
        <w:autoSpaceDN w:val="0"/>
        <w:adjustRightInd w:val="0"/>
        <w:textAlignment w:val="baseline"/>
        <w:rPr>
          <w:b/>
          <w:bCs/>
          <w:sz w:val="22"/>
          <w:szCs w:val="22"/>
        </w:rPr>
      </w:pPr>
      <w:r w:rsidRPr="00BC3901">
        <w:rPr>
          <w:b/>
          <w:bCs/>
          <w:sz w:val="22"/>
          <w:szCs w:val="22"/>
        </w:rPr>
        <w:t>ADJOURN</w:t>
      </w:r>
    </w:p>
    <w:p w:rsidR="007D5C0E" w:rsidRDefault="0049791A"/>
    <w:p w:rsidR="005A1835" w:rsidRPr="00BC3901" w:rsidRDefault="005A1835" w:rsidP="005A1835">
      <w:pPr>
        <w:rPr>
          <w:b/>
          <w:bCs/>
          <w:sz w:val="22"/>
          <w:szCs w:val="22"/>
        </w:rPr>
      </w:pPr>
      <w:r w:rsidRPr="00BC3901">
        <w:rPr>
          <w:b/>
          <w:bCs/>
          <w:sz w:val="22"/>
          <w:szCs w:val="22"/>
        </w:rPr>
        <w:t>Addendum</w:t>
      </w:r>
    </w:p>
    <w:p w:rsidR="005A1835" w:rsidRPr="00BC3901" w:rsidRDefault="005A1835" w:rsidP="005A1835">
      <w:pPr>
        <w:rPr>
          <w:b/>
          <w:bCs/>
          <w:sz w:val="22"/>
          <w:szCs w:val="22"/>
        </w:rPr>
      </w:pPr>
      <w:r w:rsidRPr="00BC3901">
        <w:rPr>
          <w:b/>
          <w:bCs/>
          <w:sz w:val="22"/>
          <w:szCs w:val="22"/>
        </w:rPr>
        <w:t>Zipped file includes markup copies</w:t>
      </w:r>
      <w:r w:rsidR="00516D59" w:rsidRPr="00BC3901">
        <w:rPr>
          <w:b/>
          <w:bCs/>
          <w:sz w:val="22"/>
          <w:szCs w:val="22"/>
        </w:rPr>
        <w:t xml:space="preserve">, annual reports, and </w:t>
      </w:r>
      <w:r w:rsidRPr="00BC3901">
        <w:rPr>
          <w:b/>
          <w:bCs/>
          <w:sz w:val="22"/>
          <w:szCs w:val="22"/>
        </w:rPr>
        <w:t xml:space="preserve">unapproved minutes. </w:t>
      </w:r>
    </w:p>
    <w:p w:rsidR="00AA1A4F" w:rsidRDefault="00AA1A4F" w:rsidP="00BC3901"/>
    <w:sectPr w:rsidR="00AA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FDA"/>
    <w:multiLevelType w:val="hybridMultilevel"/>
    <w:tmpl w:val="ED26776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30160746"/>
    <w:multiLevelType w:val="hybridMultilevel"/>
    <w:tmpl w:val="85E2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1097B"/>
    <w:multiLevelType w:val="hybridMultilevel"/>
    <w:tmpl w:val="C526B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B6248"/>
    <w:multiLevelType w:val="hybridMultilevel"/>
    <w:tmpl w:val="494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30BAD"/>
    <w:multiLevelType w:val="hybridMultilevel"/>
    <w:tmpl w:val="29DAD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8"/>
    <w:rsid w:val="00093201"/>
    <w:rsid w:val="00096AFC"/>
    <w:rsid w:val="000A07DC"/>
    <w:rsid w:val="000A3ADE"/>
    <w:rsid w:val="00152DB1"/>
    <w:rsid w:val="001819EF"/>
    <w:rsid w:val="00271741"/>
    <w:rsid w:val="002E0206"/>
    <w:rsid w:val="00387586"/>
    <w:rsid w:val="003F5E18"/>
    <w:rsid w:val="0049791A"/>
    <w:rsid w:val="004A114C"/>
    <w:rsid w:val="004B6501"/>
    <w:rsid w:val="00516D59"/>
    <w:rsid w:val="0056563D"/>
    <w:rsid w:val="00590416"/>
    <w:rsid w:val="005A1835"/>
    <w:rsid w:val="005F32E1"/>
    <w:rsid w:val="006A2E08"/>
    <w:rsid w:val="006B7BE3"/>
    <w:rsid w:val="0072384B"/>
    <w:rsid w:val="00816FEF"/>
    <w:rsid w:val="00836557"/>
    <w:rsid w:val="009050D1"/>
    <w:rsid w:val="009678D9"/>
    <w:rsid w:val="0097113F"/>
    <w:rsid w:val="00A44C0C"/>
    <w:rsid w:val="00AA1A4F"/>
    <w:rsid w:val="00AC5FF6"/>
    <w:rsid w:val="00B92B7D"/>
    <w:rsid w:val="00BC3901"/>
    <w:rsid w:val="00BE5C44"/>
    <w:rsid w:val="00C602D7"/>
    <w:rsid w:val="00C94DDE"/>
    <w:rsid w:val="00CE5DA5"/>
    <w:rsid w:val="00DE29A3"/>
    <w:rsid w:val="00E1445A"/>
    <w:rsid w:val="00E25328"/>
    <w:rsid w:val="00E4386F"/>
    <w:rsid w:val="00E8137D"/>
    <w:rsid w:val="00EB67C7"/>
    <w:rsid w:val="00F21DCA"/>
    <w:rsid w:val="00F2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757E"/>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2017-10-26T15:45:00Z</dcterms:created>
  <dcterms:modified xsi:type="dcterms:W3CDTF">2017-10-26T15:45:00Z</dcterms:modified>
</cp:coreProperties>
</file>