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28" w:rsidRPr="004E6B25" w:rsidRDefault="00E25328" w:rsidP="00E25328">
      <w:pPr>
        <w:jc w:val="center"/>
        <w:rPr>
          <w:b/>
          <w:sz w:val="32"/>
          <w:szCs w:val="32"/>
        </w:rPr>
      </w:pPr>
      <w:r w:rsidRPr="004E6B25">
        <w:rPr>
          <w:b/>
          <w:sz w:val="32"/>
          <w:szCs w:val="32"/>
        </w:rPr>
        <w:t>Academic Affairs Committee</w:t>
      </w:r>
    </w:p>
    <w:p w:rsidR="00E25328" w:rsidRDefault="00D84293" w:rsidP="00E25328">
      <w:pPr>
        <w:jc w:val="center"/>
      </w:pPr>
      <w:r>
        <w:t xml:space="preserve">Approved </w:t>
      </w:r>
      <w:bookmarkStart w:id="0" w:name="_GoBack"/>
      <w:bookmarkEnd w:id="0"/>
      <w:r w:rsidR="004B6501">
        <w:t>Meeting</w:t>
      </w:r>
      <w:r w:rsidR="005572E8">
        <w:t xml:space="preserve"> Minutes</w:t>
      </w:r>
      <w:r w:rsidR="004B6501">
        <w:t xml:space="preserve"> #</w:t>
      </w:r>
      <w:r w:rsidR="003326A1">
        <w:t>8</w:t>
      </w:r>
    </w:p>
    <w:p w:rsidR="00E25328" w:rsidRPr="0089060A" w:rsidRDefault="00E25328" w:rsidP="00E25328">
      <w:pPr>
        <w:rPr>
          <w:b/>
        </w:rPr>
      </w:pPr>
    </w:p>
    <w:p w:rsidR="00E25328" w:rsidRPr="0089060A" w:rsidRDefault="00E25328" w:rsidP="00E25328">
      <w:pPr>
        <w:rPr>
          <w:b/>
        </w:rPr>
      </w:pPr>
      <w:r w:rsidRPr="0089060A">
        <w:rPr>
          <w:b/>
        </w:rPr>
        <w:t xml:space="preserve">Date: </w:t>
      </w:r>
      <w:r w:rsidR="003326A1" w:rsidRPr="0089060A">
        <w:rPr>
          <w:b/>
        </w:rPr>
        <w:t>February 7th</w:t>
      </w:r>
      <w:r w:rsidR="004B6501" w:rsidRPr="0089060A">
        <w:rPr>
          <w:b/>
        </w:rPr>
        <w:t>, 201</w:t>
      </w:r>
      <w:r w:rsidR="00D72B02" w:rsidRPr="0089060A">
        <w:rPr>
          <w:b/>
        </w:rPr>
        <w:t>8</w:t>
      </w:r>
      <w:r w:rsidR="004B6501" w:rsidRPr="0089060A">
        <w:rPr>
          <w:b/>
        </w:rPr>
        <w:t xml:space="preserve"> </w:t>
      </w:r>
    </w:p>
    <w:p w:rsidR="00E25328" w:rsidRPr="0089060A" w:rsidRDefault="00E25328" w:rsidP="00E25328">
      <w:pPr>
        <w:rPr>
          <w:b/>
        </w:rPr>
      </w:pPr>
      <w:r w:rsidRPr="0089060A">
        <w:rPr>
          <w:b/>
        </w:rPr>
        <w:t xml:space="preserve">Location: </w:t>
      </w:r>
      <w:r w:rsidR="004B6501" w:rsidRPr="0089060A">
        <w:rPr>
          <w:b/>
        </w:rPr>
        <w:t>3</w:t>
      </w:r>
      <w:r w:rsidR="004B6501" w:rsidRPr="0089060A">
        <w:rPr>
          <w:b/>
          <w:vertAlign w:val="superscript"/>
        </w:rPr>
        <w:t>rd</w:t>
      </w:r>
      <w:r w:rsidR="004B6501" w:rsidRPr="0089060A">
        <w:rPr>
          <w:b/>
        </w:rPr>
        <w:t xml:space="preserve"> Floor East Lounge, Bone Student Center </w:t>
      </w:r>
      <w:r w:rsidR="009678D9" w:rsidRPr="0089060A">
        <w:rPr>
          <w:b/>
        </w:rPr>
        <w:br/>
        <w:t>6:00 pm</w:t>
      </w:r>
    </w:p>
    <w:p w:rsidR="00E25328" w:rsidRPr="0089060A" w:rsidRDefault="00E25328" w:rsidP="00E25328">
      <w:pPr>
        <w:rPr>
          <w:b/>
          <w:color w:val="000000" w:themeColor="text1"/>
        </w:rPr>
      </w:pPr>
    </w:p>
    <w:p w:rsidR="004B6501" w:rsidRPr="0089060A" w:rsidRDefault="00E25328" w:rsidP="004B65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89060A">
        <w:rPr>
          <w:b/>
          <w:bCs/>
          <w:sz w:val="22"/>
          <w:szCs w:val="22"/>
        </w:rPr>
        <w:t xml:space="preserve">CALL TO ORDER: </w:t>
      </w:r>
    </w:p>
    <w:p w:rsidR="0056563D" w:rsidRPr="0089060A" w:rsidRDefault="0056563D" w:rsidP="00565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89060A">
        <w:rPr>
          <w:b/>
          <w:bCs/>
          <w:sz w:val="22"/>
          <w:szCs w:val="22"/>
        </w:rPr>
        <w:t xml:space="preserve">ROLL: </w:t>
      </w:r>
      <w:r w:rsidRPr="0089060A">
        <w:rPr>
          <w:color w:val="000000" w:themeColor="text1"/>
        </w:rPr>
        <w:t xml:space="preserve">Committee members: Lucey, </w:t>
      </w:r>
      <w:proofErr w:type="spellStart"/>
      <w:r w:rsidRPr="00D84293">
        <w:rPr>
          <w:b/>
          <w:color w:val="000000" w:themeColor="text1"/>
          <w:u w:val="single"/>
        </w:rPr>
        <w:t>Haugo</w:t>
      </w:r>
      <w:proofErr w:type="spellEnd"/>
      <w:r w:rsidRPr="0089060A">
        <w:rPr>
          <w:color w:val="000000" w:themeColor="text1"/>
        </w:rPr>
        <w:t xml:space="preserve">, </w:t>
      </w:r>
      <w:proofErr w:type="spellStart"/>
      <w:r w:rsidRPr="0089060A">
        <w:rPr>
          <w:color w:val="000000" w:themeColor="text1"/>
        </w:rPr>
        <w:t>Lonbom</w:t>
      </w:r>
      <w:proofErr w:type="spellEnd"/>
      <w:r w:rsidRPr="0089060A">
        <w:rPr>
          <w:color w:val="000000" w:themeColor="text1"/>
        </w:rPr>
        <w:t xml:space="preserve">, Nichols, </w:t>
      </w:r>
      <w:proofErr w:type="spellStart"/>
      <w:r w:rsidRPr="0089060A">
        <w:rPr>
          <w:color w:val="000000" w:themeColor="text1"/>
        </w:rPr>
        <w:t>Grzanich</w:t>
      </w:r>
      <w:proofErr w:type="spellEnd"/>
      <w:r w:rsidRPr="0089060A">
        <w:rPr>
          <w:color w:val="000000" w:themeColor="text1"/>
        </w:rPr>
        <w:t xml:space="preserve">, Pancrazio, </w:t>
      </w:r>
      <w:proofErr w:type="spellStart"/>
      <w:r w:rsidRPr="00D84293">
        <w:rPr>
          <w:b/>
          <w:color w:val="000000" w:themeColor="text1"/>
          <w:u w:val="single"/>
        </w:rPr>
        <w:t>Stripeik</w:t>
      </w:r>
      <w:proofErr w:type="spellEnd"/>
      <w:r w:rsidRPr="00D84293">
        <w:rPr>
          <w:b/>
          <w:color w:val="000000" w:themeColor="text1"/>
          <w:u w:val="single"/>
        </w:rPr>
        <w:t>,</w:t>
      </w:r>
      <w:r w:rsidRPr="00D84293">
        <w:rPr>
          <w:color w:val="000000" w:themeColor="text1"/>
          <w:u w:val="single"/>
        </w:rPr>
        <w:t xml:space="preserve"> </w:t>
      </w:r>
      <w:proofErr w:type="spellStart"/>
      <w:r w:rsidRPr="00D84293">
        <w:rPr>
          <w:b/>
          <w:color w:val="000000" w:themeColor="text1"/>
          <w:u w:val="single"/>
        </w:rPr>
        <w:t>Chirayath</w:t>
      </w:r>
      <w:proofErr w:type="spellEnd"/>
      <w:r w:rsidRPr="0089060A">
        <w:rPr>
          <w:color w:val="000000" w:themeColor="text1"/>
        </w:rPr>
        <w:t xml:space="preserve">, Porter, Smith, </w:t>
      </w:r>
      <w:r w:rsidRPr="0089060A">
        <w:rPr>
          <w:i/>
          <w:color w:val="000000" w:themeColor="text1"/>
        </w:rPr>
        <w:t>Jawahar</w:t>
      </w:r>
      <w:r w:rsidRPr="0089060A">
        <w:rPr>
          <w:color w:val="000000" w:themeColor="text1"/>
        </w:rPr>
        <w:t xml:space="preserve">, UCC Liaison </w:t>
      </w:r>
      <w:r w:rsidRPr="0089060A">
        <w:rPr>
          <w:i/>
          <w:color w:val="000000" w:themeColor="text1"/>
        </w:rPr>
        <w:t>Geoffrey Duce</w:t>
      </w:r>
      <w:r w:rsidRPr="0089060A">
        <w:rPr>
          <w:color w:val="000000" w:themeColor="text1"/>
        </w:rPr>
        <w:t xml:space="preserve"> (Note: quorum is 6 voting members; bold and underline=absent; italic=ex-officio)</w:t>
      </w:r>
    </w:p>
    <w:p w:rsidR="000A07DC" w:rsidRPr="0089060A" w:rsidRDefault="000A07DC" w:rsidP="00565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89060A">
        <w:rPr>
          <w:bCs/>
          <w:sz w:val="22"/>
          <w:szCs w:val="22"/>
        </w:rPr>
        <w:t>CONSENT AGENDA</w:t>
      </w:r>
      <w:r w:rsidR="0056563D" w:rsidRPr="0089060A">
        <w:rPr>
          <w:bCs/>
          <w:sz w:val="22"/>
          <w:szCs w:val="22"/>
        </w:rPr>
        <w:t xml:space="preserve">: </w:t>
      </w:r>
    </w:p>
    <w:p w:rsidR="009678D9" w:rsidRPr="0089060A" w:rsidRDefault="00AA2CF1" w:rsidP="00D72B0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89060A">
        <w:rPr>
          <w:b/>
          <w:bCs/>
          <w:sz w:val="22"/>
          <w:szCs w:val="22"/>
        </w:rPr>
        <w:t>APPROVAL OF MINUTES: #</w:t>
      </w:r>
      <w:r w:rsidR="003326A1" w:rsidRPr="0089060A">
        <w:rPr>
          <w:b/>
          <w:bCs/>
          <w:sz w:val="22"/>
          <w:szCs w:val="22"/>
        </w:rPr>
        <w:t>7</w:t>
      </w:r>
      <w:r w:rsidRPr="0089060A">
        <w:rPr>
          <w:b/>
          <w:bCs/>
          <w:sz w:val="22"/>
          <w:szCs w:val="22"/>
        </w:rPr>
        <w:t xml:space="preserve">, </w:t>
      </w:r>
      <w:r w:rsidR="003326A1" w:rsidRPr="0089060A">
        <w:rPr>
          <w:b/>
          <w:bCs/>
          <w:sz w:val="22"/>
          <w:szCs w:val="22"/>
        </w:rPr>
        <w:t>January 24</w:t>
      </w:r>
      <w:r w:rsidR="003326A1" w:rsidRPr="0089060A">
        <w:rPr>
          <w:b/>
          <w:bCs/>
          <w:sz w:val="22"/>
          <w:szCs w:val="22"/>
          <w:vertAlign w:val="superscript"/>
        </w:rPr>
        <w:t>th</w:t>
      </w:r>
      <w:r w:rsidR="003326A1" w:rsidRPr="0089060A">
        <w:rPr>
          <w:b/>
          <w:bCs/>
          <w:sz w:val="22"/>
          <w:szCs w:val="22"/>
        </w:rPr>
        <w:t>, 2018</w:t>
      </w:r>
      <w:r w:rsidRPr="0089060A">
        <w:rPr>
          <w:b/>
          <w:bCs/>
          <w:sz w:val="22"/>
          <w:szCs w:val="22"/>
        </w:rPr>
        <w:t xml:space="preserve">  </w:t>
      </w:r>
    </w:p>
    <w:p w:rsidR="00970B63" w:rsidRPr="0089060A" w:rsidRDefault="00970B63" w:rsidP="00D72B02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89060A">
        <w:rPr>
          <w:b/>
          <w:bCs/>
          <w:sz w:val="22"/>
          <w:szCs w:val="22"/>
        </w:rPr>
        <w:t>Leave of Absence Policy</w:t>
      </w:r>
    </w:p>
    <w:p w:rsidR="00AA2CF1" w:rsidRPr="0089060A" w:rsidRDefault="00E25328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>STANDARD ORDER OF BU</w:t>
      </w:r>
      <w:r w:rsidR="000A07DC" w:rsidRPr="0089060A">
        <w:rPr>
          <w:b/>
          <w:bCs/>
          <w:sz w:val="22"/>
          <w:szCs w:val="22"/>
        </w:rPr>
        <w:t>SI</w:t>
      </w:r>
      <w:r w:rsidRPr="0089060A">
        <w:rPr>
          <w:b/>
          <w:bCs/>
          <w:sz w:val="22"/>
          <w:szCs w:val="22"/>
        </w:rPr>
        <w:t>NESS</w:t>
      </w:r>
      <w:r w:rsidR="00AA2CF1" w:rsidRPr="0089060A">
        <w:rPr>
          <w:b/>
          <w:bCs/>
          <w:sz w:val="22"/>
          <w:szCs w:val="22"/>
        </w:rPr>
        <w:t xml:space="preserve">: </w:t>
      </w:r>
    </w:p>
    <w:p w:rsidR="00D72B02" w:rsidRPr="0089060A" w:rsidRDefault="00C33159" w:rsidP="00AA2CF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 xml:space="preserve">Continued discussion of Letter from Dr. Zeng </w:t>
      </w:r>
      <w:r w:rsidR="00294464">
        <w:rPr>
          <w:b/>
          <w:bCs/>
          <w:sz w:val="22"/>
          <w:szCs w:val="22"/>
        </w:rPr>
        <w:t xml:space="preserve">(Theater and Dance/UCC) </w:t>
      </w:r>
      <w:r w:rsidRPr="0089060A">
        <w:rPr>
          <w:b/>
          <w:bCs/>
          <w:sz w:val="22"/>
          <w:szCs w:val="22"/>
        </w:rPr>
        <w:t xml:space="preserve">and AMALI caveats. </w:t>
      </w:r>
    </w:p>
    <w:p w:rsidR="00970B63" w:rsidRDefault="00970B63" w:rsidP="00970B63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 xml:space="preserve">Summary of </w:t>
      </w:r>
      <w:r w:rsidR="00294464">
        <w:rPr>
          <w:b/>
          <w:bCs/>
          <w:sz w:val="22"/>
          <w:szCs w:val="22"/>
        </w:rPr>
        <w:t>Zeng letter to AAC</w:t>
      </w:r>
      <w:r w:rsidRPr="0089060A">
        <w:rPr>
          <w:b/>
          <w:bCs/>
          <w:sz w:val="22"/>
          <w:szCs w:val="22"/>
        </w:rPr>
        <w:t xml:space="preserve">. </w:t>
      </w:r>
    </w:p>
    <w:p w:rsidR="00294464" w:rsidRDefault="00294464" w:rsidP="00DF0C47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>Graduation Requirement s</w:t>
      </w:r>
      <w:r w:rsidR="0089060A" w:rsidRPr="00294464">
        <w:rPr>
          <w:color w:val="000000" w:themeColor="text1"/>
        </w:rPr>
        <w:t>hould remain AMALI</w:t>
      </w:r>
      <w:r>
        <w:rPr>
          <w:color w:val="000000" w:themeColor="text1"/>
        </w:rPr>
        <w:t>;</w:t>
      </w:r>
      <w:r w:rsidR="0089060A" w:rsidRPr="00294464">
        <w:rPr>
          <w:color w:val="000000" w:themeColor="text1"/>
        </w:rPr>
        <w:t xml:space="preserve"> </w:t>
      </w:r>
    </w:p>
    <w:p w:rsidR="0089060A" w:rsidRPr="00294464" w:rsidRDefault="0089060A" w:rsidP="00DF0C47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294464">
        <w:rPr>
          <w:color w:val="000000" w:themeColor="text1"/>
        </w:rPr>
        <w:t xml:space="preserve">Foreign language should </w:t>
      </w:r>
      <w:r w:rsidR="00294464">
        <w:rPr>
          <w:color w:val="000000" w:themeColor="text1"/>
        </w:rPr>
        <w:t xml:space="preserve">only </w:t>
      </w:r>
      <w:r w:rsidRPr="00294464">
        <w:rPr>
          <w:color w:val="000000" w:themeColor="text1"/>
        </w:rPr>
        <w:t>be from the AMALI regions</w:t>
      </w:r>
      <w:r w:rsidR="00294464">
        <w:rPr>
          <w:color w:val="000000" w:themeColor="text1"/>
        </w:rPr>
        <w:t xml:space="preserve">; </w:t>
      </w:r>
    </w:p>
    <w:p w:rsidR="0089060A" w:rsidRDefault="00294464" w:rsidP="0089060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>UCC proposal misleading; s</w:t>
      </w:r>
      <w:r w:rsidR="0089060A">
        <w:rPr>
          <w:color w:val="000000" w:themeColor="text1"/>
        </w:rPr>
        <w:t xml:space="preserve">tudents already can study </w:t>
      </w:r>
      <w:r>
        <w:rPr>
          <w:color w:val="000000" w:themeColor="text1"/>
        </w:rPr>
        <w:t xml:space="preserve">abroad </w:t>
      </w:r>
      <w:r w:rsidR="0089060A">
        <w:rPr>
          <w:color w:val="000000" w:themeColor="text1"/>
        </w:rPr>
        <w:t>in AMALI regions</w:t>
      </w:r>
    </w:p>
    <w:p w:rsidR="0089060A" w:rsidRDefault="00294464" w:rsidP="0089060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>UCC proposal t</w:t>
      </w:r>
      <w:r w:rsidR="0089060A">
        <w:rPr>
          <w:color w:val="000000" w:themeColor="text1"/>
        </w:rPr>
        <w:t>oo general</w:t>
      </w:r>
    </w:p>
    <w:p w:rsidR="0089060A" w:rsidRDefault="00294464" w:rsidP="0089060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Zeng letter recommends </w:t>
      </w:r>
      <w:r w:rsidR="00320856">
        <w:rPr>
          <w:color w:val="000000" w:themeColor="text1"/>
        </w:rPr>
        <w:t>a two-</w:t>
      </w:r>
      <w:r w:rsidR="0089060A">
        <w:rPr>
          <w:color w:val="000000" w:themeColor="text1"/>
        </w:rPr>
        <w:t xml:space="preserve">course </w:t>
      </w:r>
      <w:r w:rsidR="00320856">
        <w:rPr>
          <w:color w:val="000000" w:themeColor="text1"/>
        </w:rPr>
        <w:t xml:space="preserve">graduation </w:t>
      </w:r>
      <w:r w:rsidR="0089060A">
        <w:rPr>
          <w:color w:val="000000" w:themeColor="text1"/>
        </w:rPr>
        <w:t>requirement</w:t>
      </w:r>
    </w:p>
    <w:p w:rsidR="0089060A" w:rsidRDefault="0089060A" w:rsidP="0089060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Past debates </w:t>
      </w:r>
      <w:r w:rsidR="00294464">
        <w:rPr>
          <w:color w:val="000000" w:themeColor="text1"/>
        </w:rPr>
        <w:t xml:space="preserve">have pitted one group of faculty against another and have suggested that </w:t>
      </w:r>
      <w:r>
        <w:rPr>
          <w:color w:val="000000" w:themeColor="text1"/>
        </w:rPr>
        <w:t xml:space="preserve">AMALI </w:t>
      </w:r>
      <w:r w:rsidR="00294464">
        <w:rPr>
          <w:color w:val="000000" w:themeColor="text1"/>
        </w:rPr>
        <w:t xml:space="preserve">faculty were an obstacle to </w:t>
      </w:r>
      <w:r>
        <w:rPr>
          <w:color w:val="000000" w:themeColor="text1"/>
        </w:rPr>
        <w:t>study abroad</w:t>
      </w:r>
      <w:r w:rsidR="00294464">
        <w:rPr>
          <w:color w:val="000000" w:themeColor="text1"/>
        </w:rPr>
        <w:t>;</w:t>
      </w:r>
    </w:p>
    <w:p w:rsidR="0089060A" w:rsidRPr="00294464" w:rsidRDefault="00294464" w:rsidP="0029446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>AMALI courses s</w:t>
      </w:r>
      <w:r w:rsidR="0089060A">
        <w:rPr>
          <w:color w:val="000000" w:themeColor="text1"/>
        </w:rPr>
        <w:t>hould be easier to find on Course finder</w:t>
      </w:r>
      <w:r>
        <w:rPr>
          <w:color w:val="000000" w:themeColor="text1"/>
        </w:rPr>
        <w:t xml:space="preserve">. </w:t>
      </w:r>
    </w:p>
    <w:p w:rsidR="00294464" w:rsidRDefault="00294464" w:rsidP="0029446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Summary of comments from AMALI outcomes report filed with the UCC. </w:t>
      </w:r>
    </w:p>
    <w:p w:rsidR="0089060A" w:rsidRPr="00294464" w:rsidRDefault="0089060A" w:rsidP="00294464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294464">
        <w:rPr>
          <w:color w:val="000000" w:themeColor="text1"/>
        </w:rPr>
        <w:t>Students already can study abroad (12 categories in general education</w:t>
      </w:r>
      <w:r w:rsidR="00294464">
        <w:rPr>
          <w:color w:val="000000" w:themeColor="text1"/>
        </w:rPr>
        <w:t>, electives and major</w:t>
      </w:r>
      <w:r w:rsidRPr="00294464">
        <w:rPr>
          <w:color w:val="000000" w:themeColor="text1"/>
        </w:rPr>
        <w:t>)</w:t>
      </w:r>
      <w:r w:rsidR="00294464">
        <w:rPr>
          <w:color w:val="000000" w:themeColor="text1"/>
        </w:rPr>
        <w:t xml:space="preserve">. </w:t>
      </w:r>
    </w:p>
    <w:p w:rsidR="0089060A" w:rsidRDefault="0089060A" w:rsidP="0089060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>80 percent o</w:t>
      </w:r>
      <w:r w:rsidR="00294464">
        <w:rPr>
          <w:color w:val="000000" w:themeColor="text1"/>
        </w:rPr>
        <w:t xml:space="preserve">f student travel goes to Europe. Proposal is Eurocentric. </w:t>
      </w:r>
    </w:p>
    <w:p w:rsidR="0089060A" w:rsidRDefault="0089060A" w:rsidP="0029446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AMALI faculty was not involved in </w:t>
      </w:r>
      <w:r w:rsidR="00294464">
        <w:rPr>
          <w:color w:val="000000" w:themeColor="text1"/>
        </w:rPr>
        <w:t xml:space="preserve">the formulation of the proposal; </w:t>
      </w:r>
    </w:p>
    <w:p w:rsidR="0089060A" w:rsidRDefault="00294464" w:rsidP="0089060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>UCC proposal has a vague outcome, it is n</w:t>
      </w:r>
      <w:r w:rsidR="0089060A">
        <w:rPr>
          <w:color w:val="000000" w:themeColor="text1"/>
        </w:rPr>
        <w:t xml:space="preserve">ot based on solid academic base, </w:t>
      </w:r>
      <w:r>
        <w:rPr>
          <w:color w:val="000000" w:themeColor="text1"/>
        </w:rPr>
        <w:t xml:space="preserve">students are </w:t>
      </w:r>
      <w:r w:rsidR="0089060A">
        <w:rPr>
          <w:color w:val="000000" w:themeColor="text1"/>
        </w:rPr>
        <w:t>supposed to learn something</w:t>
      </w:r>
      <w:r>
        <w:rPr>
          <w:color w:val="000000" w:themeColor="text1"/>
        </w:rPr>
        <w:t xml:space="preserve"> specific; contact with people from other cultures is not an assessable outcome; </w:t>
      </w:r>
    </w:p>
    <w:p w:rsidR="0089060A" w:rsidRPr="00294464" w:rsidRDefault="0089060A" w:rsidP="0089060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Some </w:t>
      </w:r>
      <w:r w:rsidR="00294464">
        <w:rPr>
          <w:color w:val="000000" w:themeColor="text1"/>
        </w:rPr>
        <w:t xml:space="preserve">faculty </w:t>
      </w:r>
      <w:r w:rsidR="005572E8">
        <w:rPr>
          <w:color w:val="000000" w:themeColor="text1"/>
        </w:rPr>
        <w:t xml:space="preserve">expressed </w:t>
      </w:r>
      <w:r>
        <w:rPr>
          <w:color w:val="000000" w:themeColor="text1"/>
        </w:rPr>
        <w:t>concern about outsourcing</w:t>
      </w:r>
      <w:r w:rsidR="005572E8">
        <w:rPr>
          <w:color w:val="000000" w:themeColor="text1"/>
        </w:rPr>
        <w:t>;</w:t>
      </w:r>
    </w:p>
    <w:p w:rsidR="0089060A" w:rsidRDefault="001560AB" w:rsidP="0089060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>AMALI was never created to teach in these lesser taught areas</w:t>
      </w:r>
      <w:r w:rsidR="005572E8">
        <w:rPr>
          <w:color w:val="000000" w:themeColor="text1"/>
        </w:rPr>
        <w:t xml:space="preserve"> of the world;</w:t>
      </w:r>
    </w:p>
    <w:p w:rsidR="001560AB" w:rsidRDefault="001560AB" w:rsidP="001560A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>Japanese and Mandarin are the two languages included in AMALI</w:t>
      </w:r>
    </w:p>
    <w:p w:rsidR="005572E8" w:rsidRDefault="005572E8" w:rsidP="001560AB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Options to move forward: </w:t>
      </w:r>
    </w:p>
    <w:p w:rsidR="00320856" w:rsidRPr="00320856" w:rsidRDefault="00320856" w:rsidP="00320856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UCC liaison Duce affirmed that the UCC supported the agreement between OISP and AMALI faculty. </w:t>
      </w:r>
    </w:p>
    <w:p w:rsidR="001560AB" w:rsidRPr="005572E8" w:rsidRDefault="005572E8" w:rsidP="005572E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AMALI standing committee? ISAC? Move AMALI to Gen Ed./AMALI faculty on CGE, Appeal process for courses not accepted as AMALI courses? </w:t>
      </w:r>
    </w:p>
    <w:p w:rsidR="00BD739B" w:rsidRDefault="005572E8" w:rsidP="005572E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recommendation, which appears as one of the options in the UCC proposal, Pancrazio will verify with Exec Committee </w:t>
      </w:r>
      <w:r w:rsidR="00BD739B">
        <w:rPr>
          <w:color w:val="000000" w:themeColor="text1"/>
        </w:rPr>
        <w:t xml:space="preserve">before </w:t>
      </w:r>
      <w:r>
        <w:rPr>
          <w:color w:val="000000" w:themeColor="text1"/>
        </w:rPr>
        <w:t xml:space="preserve">finalizing a motion. </w:t>
      </w:r>
    </w:p>
    <w:p w:rsidR="00BB4685" w:rsidRPr="00BB4685" w:rsidRDefault="00C33159" w:rsidP="00BB4685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 xml:space="preserve">Videotaping Class Statement </w:t>
      </w:r>
    </w:p>
    <w:p w:rsidR="00C33159" w:rsidRPr="0089060A" w:rsidRDefault="00C33159" w:rsidP="00AA2CF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>Permission to Record</w:t>
      </w:r>
    </w:p>
    <w:p w:rsidR="00C33159" w:rsidRDefault="00C33159" w:rsidP="00C33159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 xml:space="preserve">AAUP Statement Targeted Online Harassment </w:t>
      </w:r>
    </w:p>
    <w:p w:rsidR="00BB4685" w:rsidRDefault="00320856" w:rsidP="00BB468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Nichols: if the university does not claim the </w:t>
      </w:r>
      <w:r w:rsidR="005572E8">
        <w:rPr>
          <w:bCs/>
          <w:sz w:val="22"/>
          <w:szCs w:val="22"/>
        </w:rPr>
        <w:t>copyright</w:t>
      </w:r>
      <w:r>
        <w:rPr>
          <w:bCs/>
          <w:sz w:val="22"/>
          <w:szCs w:val="22"/>
        </w:rPr>
        <w:t xml:space="preserve"> to something created as the result of a grant, the copyright for a lecture or course materials, by default it belongs to the </w:t>
      </w:r>
      <w:r w:rsidR="005572E8">
        <w:rPr>
          <w:bCs/>
          <w:sz w:val="22"/>
          <w:szCs w:val="22"/>
        </w:rPr>
        <w:t xml:space="preserve">professor </w:t>
      </w:r>
      <w:r w:rsidR="00BB4685">
        <w:rPr>
          <w:bCs/>
          <w:sz w:val="22"/>
          <w:szCs w:val="22"/>
        </w:rPr>
        <w:t>and does not need to be assigned beforehand</w:t>
      </w:r>
      <w:r>
        <w:rPr>
          <w:bCs/>
          <w:sz w:val="22"/>
          <w:szCs w:val="22"/>
        </w:rPr>
        <w:t>. T</w:t>
      </w:r>
      <w:r w:rsidR="00BB4685">
        <w:rPr>
          <w:bCs/>
          <w:sz w:val="22"/>
          <w:szCs w:val="22"/>
        </w:rPr>
        <w:t>here just needs to be proof that the lesson and materials are original.</w:t>
      </w:r>
    </w:p>
    <w:p w:rsidR="00BB4685" w:rsidRPr="00BB4685" w:rsidRDefault="00BB4685" w:rsidP="00BB468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A statement to go into syllabi regarding the permission to record policy</w:t>
      </w:r>
    </w:p>
    <w:p w:rsidR="00C33159" w:rsidRDefault="00DE1DF3" w:rsidP="00DE1DF3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 xml:space="preserve">General statement on rules and procedures for External Committees and Content for Annual Reports: narrative that discusses routine activities, and detailed narrative that covers issues that are new; discussion of the processes of shared governance and Open Meetings compliance.   </w:t>
      </w:r>
    </w:p>
    <w:p w:rsidR="00BB4685" w:rsidRDefault="00BB4685" w:rsidP="00BB468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External committees (5-6) need to post their minutes and report them to the AAC</w:t>
      </w:r>
    </w:p>
    <w:p w:rsidR="00E81CD2" w:rsidRPr="00E81CD2" w:rsidRDefault="001424C6" w:rsidP="00E81CD2">
      <w:pPr>
        <w:pStyle w:val="ListParagraph"/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Minu</w:t>
      </w:r>
      <w:r w:rsidR="005572E8">
        <w:rPr>
          <w:bCs/>
          <w:sz w:val="22"/>
          <w:szCs w:val="22"/>
        </w:rPr>
        <w:t xml:space="preserve">tes are needed to smooth a transition from one year to another. </w:t>
      </w:r>
    </w:p>
    <w:p w:rsidR="004A114C" w:rsidRPr="0089060A" w:rsidRDefault="004A114C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 xml:space="preserve">Good of the Order:  </w:t>
      </w:r>
    </w:p>
    <w:p w:rsidR="000A07DC" w:rsidRPr="0089060A" w:rsidRDefault="000A07DC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 xml:space="preserve">OLD BUSINESS </w:t>
      </w:r>
    </w:p>
    <w:p w:rsidR="00AA2CF1" w:rsidRPr="0089060A" w:rsidRDefault="00AA2CF1" w:rsidP="00AA2CF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>UCC AMALI Recommendation</w:t>
      </w:r>
    </w:p>
    <w:p w:rsidR="00CF72CD" w:rsidRPr="0089060A" w:rsidRDefault="00CF72CD" w:rsidP="00AA2CF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>Global Learning Outcomes: OISP</w:t>
      </w:r>
    </w:p>
    <w:p w:rsidR="00AA2CF1" w:rsidRPr="0089060A" w:rsidRDefault="00AA2CF1" w:rsidP="002D39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 xml:space="preserve">Report from the Textbook Affordability Committee. See email from </w:t>
      </w:r>
      <w:proofErr w:type="spellStart"/>
      <w:r w:rsidRPr="0089060A">
        <w:rPr>
          <w:b/>
          <w:bCs/>
          <w:sz w:val="22"/>
          <w:szCs w:val="22"/>
        </w:rPr>
        <w:t>Michaelene</w:t>
      </w:r>
      <w:proofErr w:type="spellEnd"/>
      <w:r w:rsidRPr="0089060A">
        <w:rPr>
          <w:b/>
          <w:bCs/>
          <w:sz w:val="22"/>
          <w:szCs w:val="22"/>
        </w:rPr>
        <w:t xml:space="preserve"> Cox. </w:t>
      </w:r>
    </w:p>
    <w:p w:rsidR="00CE5DA5" w:rsidRPr="0089060A" w:rsidRDefault="00E25328" w:rsidP="00CE5DA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>ANNOUCEMENTS</w:t>
      </w:r>
      <w:r w:rsidR="00B92B7D" w:rsidRPr="0089060A">
        <w:rPr>
          <w:b/>
          <w:bCs/>
          <w:sz w:val="22"/>
          <w:szCs w:val="22"/>
        </w:rPr>
        <w:t xml:space="preserve">: </w:t>
      </w:r>
    </w:p>
    <w:p w:rsidR="00E25328" w:rsidRPr="0089060A" w:rsidRDefault="00E25328" w:rsidP="003F5E1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 xml:space="preserve">PROGRAM: </w:t>
      </w:r>
    </w:p>
    <w:p w:rsidR="00E25328" w:rsidRPr="0089060A" w:rsidRDefault="00E25328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89060A">
        <w:rPr>
          <w:b/>
          <w:bCs/>
          <w:sz w:val="22"/>
          <w:szCs w:val="22"/>
        </w:rPr>
        <w:t>ADJOURN</w:t>
      </w:r>
    </w:p>
    <w:p w:rsidR="007D5C0E" w:rsidRDefault="00D84293"/>
    <w:p w:rsidR="005A1835" w:rsidRPr="00204DA8" w:rsidRDefault="005A1835" w:rsidP="005A1835">
      <w:pPr>
        <w:rPr>
          <w:bCs/>
          <w:sz w:val="22"/>
          <w:szCs w:val="22"/>
        </w:rPr>
      </w:pPr>
      <w:r w:rsidRPr="00204DA8">
        <w:rPr>
          <w:bCs/>
          <w:sz w:val="22"/>
          <w:szCs w:val="22"/>
        </w:rPr>
        <w:t>Addendum</w:t>
      </w:r>
    </w:p>
    <w:p w:rsidR="005A1835" w:rsidRDefault="005A1835" w:rsidP="005A1835">
      <w:r>
        <w:rPr>
          <w:bCs/>
          <w:sz w:val="22"/>
          <w:szCs w:val="22"/>
        </w:rPr>
        <w:t>Zipped file includes markup copies</w:t>
      </w:r>
      <w:r w:rsidR="00516D59">
        <w:rPr>
          <w:bCs/>
          <w:sz w:val="22"/>
          <w:szCs w:val="22"/>
        </w:rPr>
        <w:t xml:space="preserve">, annual reports, and </w:t>
      </w:r>
      <w:r>
        <w:rPr>
          <w:bCs/>
          <w:sz w:val="22"/>
          <w:szCs w:val="22"/>
        </w:rPr>
        <w:t xml:space="preserve">unapproved minutes. </w:t>
      </w:r>
    </w:p>
    <w:sectPr w:rsidR="005A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9C7"/>
    <w:multiLevelType w:val="hybridMultilevel"/>
    <w:tmpl w:val="D27C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520"/>
    <w:multiLevelType w:val="hybridMultilevel"/>
    <w:tmpl w:val="BA223C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8B75044"/>
    <w:multiLevelType w:val="hybridMultilevel"/>
    <w:tmpl w:val="2E6E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7C20"/>
    <w:multiLevelType w:val="hybridMultilevel"/>
    <w:tmpl w:val="C792B7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6A07D52"/>
    <w:multiLevelType w:val="hybridMultilevel"/>
    <w:tmpl w:val="029C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32050"/>
    <w:multiLevelType w:val="hybridMultilevel"/>
    <w:tmpl w:val="C5E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295D"/>
    <w:multiLevelType w:val="hybridMultilevel"/>
    <w:tmpl w:val="3B9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F3514"/>
    <w:multiLevelType w:val="hybridMultilevel"/>
    <w:tmpl w:val="8E305BE0"/>
    <w:lvl w:ilvl="0" w:tplc="E90E5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B3670"/>
    <w:multiLevelType w:val="hybridMultilevel"/>
    <w:tmpl w:val="4D1E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05251"/>
    <w:multiLevelType w:val="hybridMultilevel"/>
    <w:tmpl w:val="451CB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C107BF"/>
    <w:multiLevelType w:val="hybridMultilevel"/>
    <w:tmpl w:val="AB46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D4429"/>
    <w:multiLevelType w:val="hybridMultilevel"/>
    <w:tmpl w:val="1D82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006BC"/>
    <w:multiLevelType w:val="hybridMultilevel"/>
    <w:tmpl w:val="0AE4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28"/>
    <w:rsid w:val="00093201"/>
    <w:rsid w:val="000A07DC"/>
    <w:rsid w:val="000A78F3"/>
    <w:rsid w:val="001424C6"/>
    <w:rsid w:val="001560AB"/>
    <w:rsid w:val="001819EF"/>
    <w:rsid w:val="001F6DEA"/>
    <w:rsid w:val="0023060A"/>
    <w:rsid w:val="00294464"/>
    <w:rsid w:val="002D39ED"/>
    <w:rsid w:val="002E0206"/>
    <w:rsid w:val="00320856"/>
    <w:rsid w:val="0032113B"/>
    <w:rsid w:val="003326A1"/>
    <w:rsid w:val="0037630E"/>
    <w:rsid w:val="003F5E18"/>
    <w:rsid w:val="00417C87"/>
    <w:rsid w:val="004A114C"/>
    <w:rsid w:val="004B6501"/>
    <w:rsid w:val="00516D59"/>
    <w:rsid w:val="005572E8"/>
    <w:rsid w:val="0056563D"/>
    <w:rsid w:val="00590416"/>
    <w:rsid w:val="005A1835"/>
    <w:rsid w:val="005F32E1"/>
    <w:rsid w:val="00655A61"/>
    <w:rsid w:val="006A2E08"/>
    <w:rsid w:val="0072384B"/>
    <w:rsid w:val="00816FEF"/>
    <w:rsid w:val="00836557"/>
    <w:rsid w:val="0089060A"/>
    <w:rsid w:val="009678D9"/>
    <w:rsid w:val="00970B63"/>
    <w:rsid w:val="0097113F"/>
    <w:rsid w:val="00A17DA5"/>
    <w:rsid w:val="00A44C0C"/>
    <w:rsid w:val="00AA2CF1"/>
    <w:rsid w:val="00AB6975"/>
    <w:rsid w:val="00AC5FF6"/>
    <w:rsid w:val="00B92B7D"/>
    <w:rsid w:val="00BB4685"/>
    <w:rsid w:val="00BD739B"/>
    <w:rsid w:val="00BE5C44"/>
    <w:rsid w:val="00C33159"/>
    <w:rsid w:val="00C94DDE"/>
    <w:rsid w:val="00CE5DA5"/>
    <w:rsid w:val="00CF72CD"/>
    <w:rsid w:val="00D72B02"/>
    <w:rsid w:val="00D84293"/>
    <w:rsid w:val="00DC0D83"/>
    <w:rsid w:val="00DE1DF3"/>
    <w:rsid w:val="00E25328"/>
    <w:rsid w:val="00E8137D"/>
    <w:rsid w:val="00E81CD2"/>
    <w:rsid w:val="00EB67C7"/>
    <w:rsid w:val="00F21DCA"/>
    <w:rsid w:val="00F24E71"/>
    <w:rsid w:val="00F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61E0"/>
  <w15:chartTrackingRefBased/>
  <w15:docId w15:val="{68A87E73-E8CE-40E0-ABAA-37BDF66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Pancrazio, James</cp:lastModifiedBy>
  <cp:revision>2</cp:revision>
  <dcterms:created xsi:type="dcterms:W3CDTF">2018-02-22T18:36:00Z</dcterms:created>
  <dcterms:modified xsi:type="dcterms:W3CDTF">2018-02-22T18:36:00Z</dcterms:modified>
</cp:coreProperties>
</file>