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A5C3" w14:textId="753282BE" w:rsidR="009B417A" w:rsidRPr="00B92156" w:rsidRDefault="00B51891" w:rsidP="00DB0D1F">
      <w:pPr>
        <w:jc w:val="center"/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Planning and Finance Committee Meeting Minutes</w:t>
      </w:r>
    </w:p>
    <w:p w14:paraId="6E4B6367" w14:textId="444321AE" w:rsidR="00B51891" w:rsidRPr="00B92156" w:rsidRDefault="00B51891" w:rsidP="00DB0D1F">
      <w:pPr>
        <w:jc w:val="center"/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Wednesday, September 10, 2025, 6:00pm</w:t>
      </w:r>
    </w:p>
    <w:p w14:paraId="075B9BEC" w14:textId="0CADB525" w:rsidR="00B51891" w:rsidRPr="00B92156" w:rsidRDefault="00B51891" w:rsidP="00DB0D1F">
      <w:pPr>
        <w:jc w:val="center"/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Spotlight Room (Bone Student Center)</w:t>
      </w:r>
    </w:p>
    <w:p w14:paraId="638D119A" w14:textId="77777777" w:rsidR="00B51891" w:rsidRPr="00B92156" w:rsidRDefault="00B51891">
      <w:pPr>
        <w:rPr>
          <w:rFonts w:ascii="Times New Roman" w:hAnsi="Times New Roman" w:cs="Times New Roman"/>
          <w:sz w:val="22"/>
          <w:szCs w:val="22"/>
        </w:rPr>
      </w:pPr>
    </w:p>
    <w:p w14:paraId="4E363A57" w14:textId="3DBC072D" w:rsidR="00B51891" w:rsidRPr="00B92156" w:rsidRDefault="00B51891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Call to Order 6:02pm</w:t>
      </w:r>
    </w:p>
    <w:p w14:paraId="59F997DA" w14:textId="5CDB1D6D" w:rsidR="00B51891" w:rsidRPr="00B92156" w:rsidRDefault="00B51891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Roll Call</w:t>
      </w:r>
    </w:p>
    <w:p w14:paraId="1B88B6D1" w14:textId="7B3F8232" w:rsidR="00B51891" w:rsidRPr="00B92156" w:rsidRDefault="00B51891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1891" w:rsidRPr="00B92156" w14:paraId="2B292796" w14:textId="77777777" w:rsidTr="00B51891">
        <w:tc>
          <w:tcPr>
            <w:tcW w:w="4675" w:type="dxa"/>
          </w:tcPr>
          <w:p w14:paraId="6FE0F6AB" w14:textId="401D781B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</w:p>
        </w:tc>
        <w:tc>
          <w:tcPr>
            <w:tcW w:w="4675" w:type="dxa"/>
          </w:tcPr>
          <w:p w14:paraId="2463FE8D" w14:textId="51A001C8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Absent</w:t>
            </w:r>
          </w:p>
        </w:tc>
      </w:tr>
      <w:tr w:rsidR="00B51891" w:rsidRPr="00B92156" w14:paraId="67A57BF8" w14:textId="77777777" w:rsidTr="00B51891">
        <w:tc>
          <w:tcPr>
            <w:tcW w:w="4675" w:type="dxa"/>
          </w:tcPr>
          <w:p w14:paraId="64E08074" w14:textId="5D2A12FC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Bonnell, MIL Faculty, Senate Chair</w:t>
            </w:r>
          </w:p>
        </w:tc>
        <w:tc>
          <w:tcPr>
            <w:tcW w:w="4675" w:type="dxa"/>
          </w:tcPr>
          <w:p w14:paraId="13ACCF9D" w14:textId="653C0485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Blanco-Lobo, CAS Faculty</w:t>
            </w:r>
          </w:p>
        </w:tc>
      </w:tr>
      <w:tr w:rsidR="00B51891" w:rsidRPr="00B92156" w14:paraId="7D782E4A" w14:textId="77777777" w:rsidTr="00B51891">
        <w:tc>
          <w:tcPr>
            <w:tcW w:w="4675" w:type="dxa"/>
          </w:tcPr>
          <w:p w14:paraId="5291D34D" w14:textId="751B112F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Paolucci, PFC Chair</w:t>
            </w:r>
          </w:p>
        </w:tc>
        <w:tc>
          <w:tcPr>
            <w:tcW w:w="4675" w:type="dxa"/>
          </w:tcPr>
          <w:p w14:paraId="3F6414A1" w14:textId="4C15884B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Blum, Off Campus Senator</w:t>
            </w:r>
          </w:p>
        </w:tc>
      </w:tr>
      <w:tr w:rsidR="00B51891" w:rsidRPr="00B92156" w14:paraId="47A907D9" w14:textId="77777777" w:rsidTr="00B51891">
        <w:tc>
          <w:tcPr>
            <w:tcW w:w="4675" w:type="dxa"/>
          </w:tcPr>
          <w:p w14:paraId="0694C9DE" w14:textId="18E69D84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Figueroa Fragoso, Off Campus Senator, PFC Secretary</w:t>
            </w:r>
          </w:p>
        </w:tc>
        <w:tc>
          <w:tcPr>
            <w:tcW w:w="4675" w:type="dxa"/>
          </w:tcPr>
          <w:p w14:paraId="1510FC3A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0D80BD66" w14:textId="77777777" w:rsidTr="00B51891">
        <w:tc>
          <w:tcPr>
            <w:tcW w:w="4675" w:type="dxa"/>
          </w:tcPr>
          <w:p w14:paraId="3A9EF450" w14:textId="5F3F378D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 xml:space="preserve">Senator </w:t>
            </w:r>
            <w:proofErr w:type="spellStart"/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Marshack</w:t>
            </w:r>
            <w:proofErr w:type="spellEnd"/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, Faculty</w:t>
            </w:r>
          </w:p>
        </w:tc>
        <w:tc>
          <w:tcPr>
            <w:tcW w:w="4675" w:type="dxa"/>
          </w:tcPr>
          <w:p w14:paraId="7F0F6ACA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6BFC1FD8" w14:textId="77777777" w:rsidTr="00B51891">
        <w:tc>
          <w:tcPr>
            <w:tcW w:w="4675" w:type="dxa"/>
          </w:tcPr>
          <w:p w14:paraId="1EEEA8D4" w14:textId="13FB2F8F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Torry, Faculty</w:t>
            </w:r>
          </w:p>
        </w:tc>
        <w:tc>
          <w:tcPr>
            <w:tcW w:w="4675" w:type="dxa"/>
          </w:tcPr>
          <w:p w14:paraId="44CF9E63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2F8D0D14" w14:textId="77777777" w:rsidTr="00B51891">
        <w:tc>
          <w:tcPr>
            <w:tcW w:w="4675" w:type="dxa"/>
          </w:tcPr>
          <w:p w14:paraId="7B4A722D" w14:textId="3B173C21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Porter, BAA</w:t>
            </w:r>
          </w:p>
        </w:tc>
        <w:tc>
          <w:tcPr>
            <w:tcW w:w="4675" w:type="dxa"/>
          </w:tcPr>
          <w:p w14:paraId="720B1E0F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1A7E173F" w14:textId="77777777" w:rsidTr="00B51891">
        <w:tc>
          <w:tcPr>
            <w:tcW w:w="4675" w:type="dxa"/>
          </w:tcPr>
          <w:p w14:paraId="513B73D5" w14:textId="638BA69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Polifka, AVP SA, NON-VOTING</w:t>
            </w:r>
          </w:p>
        </w:tc>
        <w:tc>
          <w:tcPr>
            <w:tcW w:w="4675" w:type="dxa"/>
          </w:tcPr>
          <w:p w14:paraId="70D79BBA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270CDFB1" w14:textId="77777777" w:rsidTr="00B51891">
        <w:tc>
          <w:tcPr>
            <w:tcW w:w="4675" w:type="dxa"/>
          </w:tcPr>
          <w:p w14:paraId="724E9C48" w14:textId="4A685240" w:rsidR="00B51891" w:rsidRPr="00B92156" w:rsidRDefault="00DB0D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Nelson, VP FP, NON-VOTING</w:t>
            </w:r>
          </w:p>
        </w:tc>
        <w:tc>
          <w:tcPr>
            <w:tcW w:w="4675" w:type="dxa"/>
          </w:tcPr>
          <w:p w14:paraId="4CCE7289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2DF70BFD" w14:textId="77777777" w:rsidTr="00B51891">
        <w:tc>
          <w:tcPr>
            <w:tcW w:w="4675" w:type="dxa"/>
          </w:tcPr>
          <w:p w14:paraId="33EE4EAF" w14:textId="3DB093D5" w:rsidR="00B51891" w:rsidRPr="00B92156" w:rsidRDefault="00DB0D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Stoner, On Campus Senator</w:t>
            </w:r>
          </w:p>
        </w:tc>
        <w:tc>
          <w:tcPr>
            <w:tcW w:w="4675" w:type="dxa"/>
          </w:tcPr>
          <w:p w14:paraId="584D710E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5346D406" w14:textId="77777777" w:rsidTr="00B51891">
        <w:tc>
          <w:tcPr>
            <w:tcW w:w="4675" w:type="dxa"/>
          </w:tcPr>
          <w:p w14:paraId="7993C3F2" w14:textId="0DD859B4" w:rsidR="00B51891" w:rsidRPr="00B92156" w:rsidRDefault="00DB0D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Cutting, AVP AP</w:t>
            </w:r>
          </w:p>
        </w:tc>
        <w:tc>
          <w:tcPr>
            <w:tcW w:w="4675" w:type="dxa"/>
          </w:tcPr>
          <w:p w14:paraId="34D10F5B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891" w:rsidRPr="00B92156" w14:paraId="19A90FAA" w14:textId="77777777" w:rsidTr="00B51891">
        <w:tc>
          <w:tcPr>
            <w:tcW w:w="4675" w:type="dxa"/>
          </w:tcPr>
          <w:p w14:paraId="5F40CC56" w14:textId="533FCD7F" w:rsidR="00B51891" w:rsidRPr="00B92156" w:rsidRDefault="00DB0D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156">
              <w:rPr>
                <w:rFonts w:ascii="Times New Roman" w:hAnsi="Times New Roman" w:cs="Times New Roman"/>
                <w:sz w:val="22"/>
                <w:szCs w:val="22"/>
              </w:rPr>
              <w:t>Senator Pettit, College of Ed Senator</w:t>
            </w:r>
          </w:p>
        </w:tc>
        <w:tc>
          <w:tcPr>
            <w:tcW w:w="4675" w:type="dxa"/>
          </w:tcPr>
          <w:p w14:paraId="53EBD722" w14:textId="77777777" w:rsidR="00B51891" w:rsidRPr="00B92156" w:rsidRDefault="00B518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AF0C00" w14:textId="77777777" w:rsidR="00B51891" w:rsidRPr="00B92156" w:rsidRDefault="00B51891">
      <w:pPr>
        <w:rPr>
          <w:rFonts w:ascii="Times New Roman" w:hAnsi="Times New Roman" w:cs="Times New Roman"/>
          <w:sz w:val="22"/>
          <w:szCs w:val="22"/>
        </w:rPr>
      </w:pPr>
    </w:p>
    <w:p w14:paraId="7606817C" w14:textId="6B9D2320" w:rsidR="00DB0D1F" w:rsidRPr="00B92156" w:rsidRDefault="00DB0D1F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 xml:space="preserve">Guest: Dan Taube </w:t>
      </w:r>
    </w:p>
    <w:p w14:paraId="2E14A95B" w14:textId="28E58EE0" w:rsidR="00DB0D1F" w:rsidRPr="00B92156" w:rsidRDefault="00DB0D1F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Public Comment: None</w:t>
      </w:r>
    </w:p>
    <w:p w14:paraId="20FE0C92" w14:textId="77777777" w:rsidR="00DB0D1F" w:rsidRPr="00B92156" w:rsidRDefault="00DB0D1F">
      <w:pPr>
        <w:rPr>
          <w:rFonts w:ascii="Times New Roman" w:hAnsi="Times New Roman" w:cs="Times New Roman"/>
          <w:sz w:val="22"/>
          <w:szCs w:val="22"/>
        </w:rPr>
      </w:pPr>
    </w:p>
    <w:p w14:paraId="2D930320" w14:textId="317EC53A" w:rsidR="00B92156" w:rsidRPr="00B92156" w:rsidRDefault="00DB0D1F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b/>
          <w:bCs/>
          <w:sz w:val="22"/>
          <w:szCs w:val="22"/>
        </w:rPr>
        <w:t>Approval of Minutes</w:t>
      </w:r>
      <w:r w:rsidRPr="00B92156">
        <w:rPr>
          <w:rFonts w:ascii="Times New Roman" w:hAnsi="Times New Roman" w:cs="Times New Roman"/>
          <w:sz w:val="22"/>
          <w:szCs w:val="22"/>
        </w:rPr>
        <w:br/>
      </w:r>
      <w:r w:rsidRPr="00B92156">
        <w:rPr>
          <w:rFonts w:ascii="Times New Roman" w:hAnsi="Times New Roman" w:cs="Times New Roman"/>
          <w:sz w:val="22"/>
          <w:szCs w:val="22"/>
        </w:rPr>
        <w:br/>
        <w:t>The minutes from April 9, 2025</w:t>
      </w:r>
      <w:r w:rsidR="00B92156" w:rsidRPr="00B92156">
        <w:rPr>
          <w:rFonts w:ascii="Times New Roman" w:hAnsi="Times New Roman" w:cs="Times New Roman"/>
          <w:sz w:val="22"/>
          <w:szCs w:val="22"/>
        </w:rPr>
        <w:t xml:space="preserve">, were available in the Planning and Finance Team folder. As most members had not been present at that meeting, discussion was limited. A motion was made by Senator Paolucci and seconded by Senator </w:t>
      </w:r>
      <w:proofErr w:type="spellStart"/>
      <w:r w:rsidR="00B92156" w:rsidRPr="00B92156">
        <w:rPr>
          <w:rFonts w:ascii="Times New Roman" w:hAnsi="Times New Roman" w:cs="Times New Roman"/>
          <w:sz w:val="22"/>
          <w:szCs w:val="22"/>
        </w:rPr>
        <w:t>Marshack</w:t>
      </w:r>
      <w:proofErr w:type="spellEnd"/>
      <w:r w:rsidR="00B92156" w:rsidRPr="00B92156">
        <w:rPr>
          <w:rFonts w:ascii="Times New Roman" w:hAnsi="Times New Roman" w:cs="Times New Roman"/>
          <w:sz w:val="22"/>
          <w:szCs w:val="22"/>
        </w:rPr>
        <w:t xml:space="preserve"> to approve the minutes. </w:t>
      </w:r>
      <w:r w:rsidR="00B92156" w:rsidRPr="00B92156">
        <w:rPr>
          <w:rFonts w:ascii="Times New Roman" w:hAnsi="Times New Roman" w:cs="Times New Roman"/>
          <w:sz w:val="22"/>
          <w:szCs w:val="22"/>
        </w:rPr>
        <w:br/>
      </w:r>
    </w:p>
    <w:p w14:paraId="61C6BE46" w14:textId="077C4A75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B9215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2156">
        <w:rPr>
          <w:rFonts w:ascii="Times New Roman" w:hAnsi="Times New Roman" w:cs="Times New Roman"/>
          <w:b/>
          <w:bCs/>
          <w:sz w:val="22"/>
          <w:szCs w:val="22"/>
        </w:rPr>
        <w:t>Member Introductions</w:t>
      </w:r>
    </w:p>
    <w:p w14:paraId="2D09182D" w14:textId="111CC291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Members introduced themselves, including role and area of representation.</w:t>
      </w:r>
    </w:p>
    <w:p w14:paraId="54F300F0" w14:textId="4C7288FC" w:rsidR="00B92156" w:rsidRPr="00B92156" w:rsidRDefault="00B92156" w:rsidP="00B9215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B9215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2156">
        <w:rPr>
          <w:rFonts w:ascii="Times New Roman" w:hAnsi="Times New Roman" w:cs="Times New Roman"/>
          <w:b/>
          <w:bCs/>
          <w:sz w:val="22"/>
          <w:szCs w:val="22"/>
        </w:rPr>
        <w:t>Review of Committee Charge</w:t>
      </w:r>
    </w:p>
    <w:p w14:paraId="0977C8F0" w14:textId="0D393A45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B92156">
        <w:rPr>
          <w:rFonts w:ascii="Times New Roman" w:hAnsi="Times New Roman" w:cs="Times New Roman"/>
          <w:sz w:val="22"/>
          <w:szCs w:val="22"/>
        </w:rPr>
        <w:t>Chair P</w:t>
      </w:r>
      <w:r>
        <w:rPr>
          <w:rFonts w:ascii="Times New Roman" w:hAnsi="Times New Roman" w:cs="Times New Roman"/>
          <w:sz w:val="22"/>
          <w:szCs w:val="22"/>
        </w:rPr>
        <w:t>aol</w:t>
      </w:r>
      <w:r w:rsidRPr="00B92156">
        <w:rPr>
          <w:rFonts w:ascii="Times New Roman" w:hAnsi="Times New Roman" w:cs="Times New Roman"/>
          <w:sz w:val="22"/>
          <w:szCs w:val="22"/>
        </w:rPr>
        <w:t>ucci summarized the committee’s formal charge, distilling responsibilities into:</w:t>
      </w:r>
    </w:p>
    <w:p w14:paraId="5364592E" w14:textId="21735614" w:rsidR="00B92156" w:rsidRPr="00B92156" w:rsidRDefault="00B92156" w:rsidP="00B92156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Following Senate bylaws and the Open Meetings Act</w:t>
      </w:r>
    </w:p>
    <w:p w14:paraId="4BBE2A2E" w14:textId="77777777" w:rsidR="00B92156" w:rsidRPr="00B92156" w:rsidRDefault="00B92156" w:rsidP="00B92156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Electing officers and keeping minutes</w:t>
      </w:r>
    </w:p>
    <w:p w14:paraId="5964F2D6" w14:textId="77777777" w:rsidR="00B92156" w:rsidRPr="00B92156" w:rsidRDefault="00B92156" w:rsidP="00B92156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lastRenderedPageBreak/>
        <w:t>Advising Senate on significant budget issues</w:t>
      </w:r>
    </w:p>
    <w:p w14:paraId="10C4EA90" w14:textId="77777777" w:rsidR="00B92156" w:rsidRPr="00B92156" w:rsidRDefault="00B92156" w:rsidP="00B92156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Reviewing allocation of campus resources, budget strategies, and revenue sources</w:t>
      </w:r>
    </w:p>
    <w:p w14:paraId="6D676296" w14:textId="2ED09DC4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 xml:space="preserve">Discussion followed regarding the committee’s role in reviewing and advising on budgetary and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B92156">
        <w:rPr>
          <w:rFonts w:ascii="Times New Roman" w:hAnsi="Times New Roman" w:cs="Times New Roman"/>
          <w:sz w:val="22"/>
          <w:szCs w:val="22"/>
        </w:rPr>
        <w:t>resource allocation issues.</w:t>
      </w:r>
    </w:p>
    <w:p w14:paraId="323E1140" w14:textId="0A07F0D3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B92156">
        <w:rPr>
          <w:rFonts w:ascii="Times New Roman" w:hAnsi="Times New Roman" w:cs="Times New Roman"/>
          <w:sz w:val="22"/>
          <w:szCs w:val="22"/>
        </w:rPr>
        <w:t xml:space="preserve">. </w:t>
      </w:r>
      <w:r w:rsidRPr="00B92156">
        <w:rPr>
          <w:rFonts w:ascii="Times New Roman" w:hAnsi="Times New Roman" w:cs="Times New Roman"/>
          <w:b/>
          <w:bCs/>
          <w:sz w:val="22"/>
          <w:szCs w:val="22"/>
        </w:rPr>
        <w:t>Issues Pending List and Priorities</w:t>
      </w:r>
    </w:p>
    <w:p w14:paraId="1228885D" w14:textId="2A74CAD0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Former Chair Angela Bon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B92156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92156">
        <w:rPr>
          <w:rFonts w:ascii="Times New Roman" w:hAnsi="Times New Roman" w:cs="Times New Roman"/>
          <w:sz w:val="22"/>
          <w:szCs w:val="22"/>
        </w:rPr>
        <w:t>l reviewed the current Issues Pending List, highlighting the following:</w:t>
      </w:r>
    </w:p>
    <w:p w14:paraId="38040F88" w14:textId="77777777" w:rsidR="00B92156" w:rsidRPr="00B92156" w:rsidRDefault="00B92156" w:rsidP="00B9215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Policy 9.2: Appropriate Use of Information Technology</w:t>
      </w:r>
    </w:p>
    <w:p w14:paraId="0ED4B3A5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Drafted last year in collaboration with the Office of General Counsel.</w:t>
      </w:r>
    </w:p>
    <w:p w14:paraId="10FC6F40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Review was delayed due to staffing changes and timeline constraints.</w:t>
      </w:r>
    </w:p>
    <w:p w14:paraId="3F44A777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Updating remains a top priority for 2025–26.</w:t>
      </w:r>
    </w:p>
    <w:p w14:paraId="47D9696E" w14:textId="77777777" w:rsidR="00B92156" w:rsidRPr="00B92156" w:rsidRDefault="00B92156" w:rsidP="00B9215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Policy 1.7: University Use of Electronic Equipment for Surveillance</w:t>
      </w:r>
    </w:p>
    <w:p w14:paraId="7AAE7BB2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Outdated policy; reassigned to Planning &amp; Finance due to overlap with Policy 9.2.</w:t>
      </w:r>
    </w:p>
    <w:p w14:paraId="12CC5A98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Requires complete rewriting.</w:t>
      </w:r>
    </w:p>
    <w:p w14:paraId="44BC47AB" w14:textId="77777777" w:rsidR="00B92156" w:rsidRPr="00B92156" w:rsidRDefault="00B92156" w:rsidP="00B9215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Facilities and Budget Reports</w:t>
      </w:r>
    </w:p>
    <w:p w14:paraId="06164BC8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The committee will review the annual Academic Facilities Priority Report and Operating Budget in coordination with Administrative Affairs and Budget Committee.</w:t>
      </w:r>
    </w:p>
    <w:p w14:paraId="2065F746" w14:textId="77777777" w:rsidR="00B92156" w:rsidRPr="00B92156" w:rsidRDefault="00B92156" w:rsidP="00B9215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GE Road Campus (Buildings 171 and 179)</w:t>
      </w:r>
    </w:p>
    <w:p w14:paraId="02CBF414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Ongoing review of College of Engineering placement and additional space planning.</w:t>
      </w:r>
    </w:p>
    <w:p w14:paraId="655F46DB" w14:textId="77777777" w:rsidR="00B92156" w:rsidRPr="00B92156" w:rsidRDefault="00B92156" w:rsidP="00B92156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Further updates anticipated once cabinet planning advances.</w:t>
      </w:r>
    </w:p>
    <w:p w14:paraId="132E241E" w14:textId="77777777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Discussion included the role of the Town of Normal, opportunities for collaboration, and prior committee work on pedestrian safety.</w:t>
      </w:r>
    </w:p>
    <w:p w14:paraId="6C2C543C" w14:textId="5B33189D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B92156">
        <w:rPr>
          <w:rFonts w:ascii="Times New Roman" w:hAnsi="Times New Roman" w:cs="Times New Roman"/>
          <w:sz w:val="22"/>
          <w:szCs w:val="22"/>
        </w:rPr>
        <w:t xml:space="preserve">. </w:t>
      </w:r>
      <w:r w:rsidRPr="00B92156">
        <w:rPr>
          <w:rFonts w:ascii="Times New Roman" w:hAnsi="Times New Roman" w:cs="Times New Roman"/>
          <w:b/>
          <w:bCs/>
          <w:sz w:val="22"/>
          <w:szCs w:val="22"/>
        </w:rPr>
        <w:t>GE Road Facilities Update</w:t>
      </w:r>
    </w:p>
    <w:p w14:paraId="7BA86A9E" w14:textId="1E15A607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Vice President N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B92156">
        <w:rPr>
          <w:rFonts w:ascii="Times New Roman" w:hAnsi="Times New Roman" w:cs="Times New Roman"/>
          <w:sz w:val="22"/>
          <w:szCs w:val="22"/>
        </w:rPr>
        <w:t>lson reported:</w:t>
      </w:r>
    </w:p>
    <w:p w14:paraId="070F341A" w14:textId="77777777" w:rsidR="00B92156" w:rsidRPr="00B92156" w:rsidRDefault="00B92156" w:rsidP="00B9215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Space Planning Committee collected departmental requests; Facilities drafted preliminary allocation models.</w:t>
      </w:r>
    </w:p>
    <w:p w14:paraId="6D4E70EE" w14:textId="77777777" w:rsidR="00B92156" w:rsidRPr="00B92156" w:rsidRDefault="00B92156" w:rsidP="00B9215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Cabinet is reviewing potential academic and administrative relocations.</w:t>
      </w:r>
    </w:p>
    <w:p w14:paraId="754F5018" w14:textId="77777777" w:rsidR="00B92156" w:rsidRPr="00B92156" w:rsidRDefault="00B92156" w:rsidP="00B9215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Goal: minimize renovation costs while maximizing academic capacity.</w:t>
      </w:r>
    </w:p>
    <w:p w14:paraId="7EC0AFD0" w14:textId="77777777" w:rsidR="00B92156" w:rsidRPr="00B92156" w:rsidRDefault="00B92156" w:rsidP="00B9215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Exploring feasibility of solar installation with Siemens to potentially take the building off-grid. Analysis is in progress; urgency due to federal solar tax credit deadline (July 1, 2026).</w:t>
      </w:r>
    </w:p>
    <w:p w14:paraId="4125AB95" w14:textId="77777777" w:rsidR="00B92156" w:rsidRPr="00B92156" w:rsidRDefault="00B92156" w:rsidP="00B92156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Future updates to be shared as feasible.</w:t>
      </w:r>
    </w:p>
    <w:p w14:paraId="5D34580E" w14:textId="77777777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lastRenderedPageBreak/>
        <w:t>Discussion included:</w:t>
      </w:r>
    </w:p>
    <w:p w14:paraId="3C2304A0" w14:textId="77777777" w:rsidR="00B92156" w:rsidRPr="00B92156" w:rsidRDefault="00B92156" w:rsidP="00B92156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Potential for foundation ownership and leasing models.</w:t>
      </w:r>
    </w:p>
    <w:p w14:paraId="26754B6A" w14:textId="77777777" w:rsidR="00B92156" w:rsidRPr="00B92156" w:rsidRDefault="00B92156" w:rsidP="00B92156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Balancing revenue generation vs. maximizing academic/student use.</w:t>
      </w:r>
    </w:p>
    <w:p w14:paraId="7CDADA73" w14:textId="77777777" w:rsidR="00B92156" w:rsidRPr="00B92156" w:rsidRDefault="00B92156" w:rsidP="00B92156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Integration with College of Engineering and possible data center placement.</w:t>
      </w:r>
    </w:p>
    <w:p w14:paraId="72FB6FC6" w14:textId="6DC92B1B" w:rsidR="00B92156" w:rsidRPr="00B92156" w:rsidRDefault="00B92156" w:rsidP="00B9215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B92156">
        <w:rPr>
          <w:rFonts w:ascii="Times New Roman" w:hAnsi="Times New Roman" w:cs="Times New Roman"/>
          <w:sz w:val="22"/>
          <w:szCs w:val="22"/>
        </w:rPr>
        <w:t xml:space="preserve">. </w:t>
      </w:r>
      <w:r w:rsidRPr="00B92156">
        <w:rPr>
          <w:rFonts w:ascii="Times New Roman" w:hAnsi="Times New Roman" w:cs="Times New Roman"/>
          <w:b/>
          <w:bCs/>
          <w:sz w:val="22"/>
          <w:szCs w:val="22"/>
        </w:rPr>
        <w:t>Presentation: Information Technology Security</w:t>
      </w:r>
    </w:p>
    <w:p w14:paraId="32FC04D4" w14:textId="6CC00178" w:rsidR="00B92156" w:rsidRPr="00B92156" w:rsidRDefault="00B92156" w:rsidP="00B92156">
      <w:p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 xml:space="preserve">Chief Information Security Officer Dan </w:t>
      </w:r>
      <w:r>
        <w:rPr>
          <w:rFonts w:ascii="Times New Roman" w:hAnsi="Times New Roman" w:cs="Times New Roman"/>
          <w:sz w:val="22"/>
          <w:szCs w:val="22"/>
        </w:rPr>
        <w:t>T</w:t>
      </w:r>
      <w:r w:rsidR="002B6384">
        <w:rPr>
          <w:rFonts w:ascii="Times New Roman" w:hAnsi="Times New Roman" w:cs="Times New Roman"/>
          <w:sz w:val="22"/>
          <w:szCs w:val="22"/>
        </w:rPr>
        <w:t>aube</w:t>
      </w:r>
      <w:r w:rsidRPr="00B92156">
        <w:rPr>
          <w:rFonts w:ascii="Times New Roman" w:hAnsi="Times New Roman" w:cs="Times New Roman"/>
          <w:sz w:val="22"/>
          <w:szCs w:val="22"/>
        </w:rPr>
        <w:t xml:space="preserve"> presented on Policy 9.2: Appropriate Use of Information Technology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2156">
        <w:rPr>
          <w:rFonts w:ascii="Times New Roman" w:hAnsi="Times New Roman" w:cs="Times New Roman"/>
          <w:sz w:val="22"/>
          <w:szCs w:val="22"/>
        </w:rPr>
        <w:t>and cybersecurity risks:</w:t>
      </w:r>
    </w:p>
    <w:p w14:paraId="09520346" w14:textId="77777777" w:rsidR="00B92156" w:rsidRPr="00B92156" w:rsidRDefault="00B92156" w:rsidP="00B92156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Threat Landscape: Higher education is among the top three targeted sectors (alongside health and finance).</w:t>
      </w:r>
    </w:p>
    <w:p w14:paraId="2A544822" w14:textId="77777777" w:rsidR="00B92156" w:rsidRPr="00B92156" w:rsidRDefault="00B92156" w:rsidP="00B92156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Current Policy Status: Existing IT policy dates from the late 1990s/early 2000s and requires urgent updates.</w:t>
      </w:r>
    </w:p>
    <w:p w14:paraId="7E600090" w14:textId="77777777" w:rsidR="00B92156" w:rsidRPr="00B92156" w:rsidRDefault="00B92156" w:rsidP="00B92156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Threat Model: ISU faces regular phishing attempts and malicious attacks (~3,500 per week sector-wide). Advanced threat actors (e.g., state-sponsored or organized crime groups) target intellectual property, personal data, and financial systems.</w:t>
      </w:r>
    </w:p>
    <w:p w14:paraId="440287B4" w14:textId="77777777" w:rsidR="00B92156" w:rsidRPr="00B92156" w:rsidRDefault="00B92156" w:rsidP="00B92156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Risk: Cyberattacks, including ransomware, could cost institutions millions in recovery. Example: Western Sydney University incurred $53 million in recovery costs from a student-led breach.</w:t>
      </w:r>
    </w:p>
    <w:p w14:paraId="301CD3BE" w14:textId="77777777" w:rsidR="00B92156" w:rsidRPr="00B92156" w:rsidRDefault="00B92156" w:rsidP="00B92156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B92156">
        <w:rPr>
          <w:rFonts w:ascii="Times New Roman" w:hAnsi="Times New Roman" w:cs="Times New Roman"/>
          <w:sz w:val="22"/>
          <w:szCs w:val="22"/>
        </w:rPr>
        <w:t>Next Steps: Updating Policy 9.2 is central to ISU’s cybersecurity strategy. Collaboration with the Senate, General Counsel, and academic stakeholders will be needed.</w:t>
      </w:r>
    </w:p>
    <w:p w14:paraId="5CF3E136" w14:textId="144E1552" w:rsidR="00B92156" w:rsidRPr="00B92156" w:rsidRDefault="00B92156" w:rsidP="00B9215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B92156">
        <w:rPr>
          <w:rFonts w:ascii="Times New Roman" w:hAnsi="Times New Roman" w:cs="Times New Roman"/>
          <w:sz w:val="22"/>
          <w:szCs w:val="22"/>
        </w:rPr>
        <w:t xml:space="preserve">. </w:t>
      </w:r>
      <w:r w:rsidRPr="00B92156">
        <w:rPr>
          <w:rFonts w:ascii="Times New Roman" w:hAnsi="Times New Roman" w:cs="Times New Roman"/>
          <w:b/>
          <w:bCs/>
          <w:sz w:val="22"/>
          <w:szCs w:val="22"/>
        </w:rPr>
        <w:t>Adjournment</w:t>
      </w:r>
    </w:p>
    <w:p w14:paraId="1313AF82" w14:textId="5453ED31" w:rsidR="00B92156" w:rsidRPr="00B92156" w:rsidRDefault="002B6384" w:rsidP="00B921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Senator Figueroa made the motion to </w:t>
      </w:r>
      <w:r>
        <w:rPr>
          <w:rFonts w:ascii="Times New Roman" w:hAnsi="Times New Roman" w:cs="Times New Roman"/>
          <w:sz w:val="22"/>
          <w:szCs w:val="22"/>
        </w:rPr>
        <w:t>adjourn,</w:t>
      </w:r>
      <w:r>
        <w:rPr>
          <w:rFonts w:ascii="Times New Roman" w:hAnsi="Times New Roman" w:cs="Times New Roman"/>
          <w:sz w:val="22"/>
          <w:szCs w:val="22"/>
        </w:rPr>
        <w:t xml:space="preserve"> and it was seconded by Senator Stoner.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92156" w:rsidRPr="00B92156">
        <w:rPr>
          <w:rFonts w:ascii="Times New Roman" w:hAnsi="Times New Roman" w:cs="Times New Roman"/>
          <w:sz w:val="22"/>
          <w:szCs w:val="22"/>
        </w:rPr>
        <w:t>Chair P</w:t>
      </w:r>
      <w:r w:rsidR="00B92156">
        <w:rPr>
          <w:rFonts w:ascii="Times New Roman" w:hAnsi="Times New Roman" w:cs="Times New Roman"/>
          <w:sz w:val="22"/>
          <w:szCs w:val="22"/>
        </w:rPr>
        <w:t>aol</w:t>
      </w:r>
      <w:r w:rsidR="00B92156" w:rsidRPr="00B92156">
        <w:rPr>
          <w:rFonts w:ascii="Times New Roman" w:hAnsi="Times New Roman" w:cs="Times New Roman"/>
          <w:sz w:val="22"/>
          <w:szCs w:val="22"/>
        </w:rPr>
        <w:t>ucci thanked members for their participation and emphasized the importance of continued engagement as the committee addresses pending policy updates and space planning issues.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5DC836" w14:textId="7540CE5D" w:rsidR="00B92156" w:rsidRPr="00B92156" w:rsidRDefault="00B92156" w:rsidP="00B92156">
      <w:pPr>
        <w:rPr>
          <w:rFonts w:ascii="Times New Roman" w:hAnsi="Times New Roman" w:cs="Times New Roman"/>
          <w:caps/>
          <w:sz w:val="22"/>
          <w:szCs w:val="22"/>
        </w:rPr>
      </w:pPr>
    </w:p>
    <w:sectPr w:rsidR="00B92156" w:rsidRPr="00B9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C47"/>
    <w:multiLevelType w:val="multilevel"/>
    <w:tmpl w:val="DBA6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A6E9B"/>
    <w:multiLevelType w:val="multilevel"/>
    <w:tmpl w:val="120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D048C"/>
    <w:multiLevelType w:val="multilevel"/>
    <w:tmpl w:val="2F4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7AB2"/>
    <w:multiLevelType w:val="multilevel"/>
    <w:tmpl w:val="C52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04D56"/>
    <w:multiLevelType w:val="multilevel"/>
    <w:tmpl w:val="674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56DF5"/>
    <w:multiLevelType w:val="hybridMultilevel"/>
    <w:tmpl w:val="55A6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10FAF"/>
    <w:multiLevelType w:val="hybridMultilevel"/>
    <w:tmpl w:val="3D4C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6D06"/>
    <w:multiLevelType w:val="multilevel"/>
    <w:tmpl w:val="AF7E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149810">
    <w:abstractNumId w:val="5"/>
  </w:num>
  <w:num w:numId="2" w16cid:durableId="1931155050">
    <w:abstractNumId w:val="4"/>
  </w:num>
  <w:num w:numId="3" w16cid:durableId="75521303">
    <w:abstractNumId w:val="2"/>
  </w:num>
  <w:num w:numId="4" w16cid:durableId="1794862564">
    <w:abstractNumId w:val="1"/>
  </w:num>
  <w:num w:numId="5" w16cid:durableId="201601417">
    <w:abstractNumId w:val="0"/>
  </w:num>
  <w:num w:numId="6" w16cid:durableId="336538022">
    <w:abstractNumId w:val="3"/>
  </w:num>
  <w:num w:numId="7" w16cid:durableId="848522878">
    <w:abstractNumId w:val="7"/>
  </w:num>
  <w:num w:numId="8" w16cid:durableId="1255357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91"/>
    <w:rsid w:val="002B6384"/>
    <w:rsid w:val="009715DB"/>
    <w:rsid w:val="009B417A"/>
    <w:rsid w:val="00B51891"/>
    <w:rsid w:val="00B92156"/>
    <w:rsid w:val="00DB0D1F"/>
    <w:rsid w:val="00E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C82A"/>
  <w15:chartTrackingRefBased/>
  <w15:docId w15:val="{05E760B4-1F9F-49AA-BB01-D0681AF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8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E36EB4BFE994581673C1012728504" ma:contentTypeVersion="13" ma:contentTypeDescription="Create a new document." ma:contentTypeScope="" ma:versionID="816e373397dc511b2a605e0317a49443">
  <xsd:schema xmlns:xsd="http://www.w3.org/2001/XMLSchema" xmlns:xs="http://www.w3.org/2001/XMLSchema" xmlns:p="http://schemas.microsoft.com/office/2006/metadata/properties" xmlns:ns3="6b4988c7-0b4d-4405-8211-175f2a9eda13" xmlns:ns4="c9a35c42-6261-4e8a-a91e-6c966ebc5fb1" targetNamespace="http://schemas.microsoft.com/office/2006/metadata/properties" ma:root="true" ma:fieldsID="8b440471b77694867cb6c5e721be67ca" ns3:_="" ns4:_="">
    <xsd:import namespace="6b4988c7-0b4d-4405-8211-175f2a9eda13"/>
    <xsd:import namespace="c9a35c42-6261-4e8a-a91e-6c966ebc5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988c7-0b4d-4405-8211-175f2a9ed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35c42-6261-4e8a-a91e-6c966ebc5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4988c7-0b4d-4405-8211-175f2a9eda13" xsi:nil="true"/>
  </documentManagement>
</p:properties>
</file>

<file path=customXml/itemProps1.xml><?xml version="1.0" encoding="utf-8"?>
<ds:datastoreItem xmlns:ds="http://schemas.openxmlformats.org/officeDocument/2006/customXml" ds:itemID="{D8397E61-8085-47BC-92B8-425CE207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988c7-0b4d-4405-8211-175f2a9eda13"/>
    <ds:schemaRef ds:uri="c9a35c42-6261-4e8a-a91e-6c966ebc5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6D89F-DCF2-4CD5-B857-CF7E77D35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880EF-260C-447C-A4F4-A853D05C9963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6b4988c7-0b4d-4405-8211-175f2a9eda13"/>
    <ds:schemaRef ds:uri="http://purl.org/dc/dcmitype/"/>
    <ds:schemaRef ds:uri="http://schemas.openxmlformats.org/package/2006/metadata/core-properties"/>
    <ds:schemaRef ds:uri="c9a35c42-6261-4e8a-a91e-6c966ebc5fb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Figueroa-Fragoso (WORK), Miguel</dc:creator>
  <cp:keywords/>
  <dc:description/>
  <cp:lastModifiedBy>Figueroa-Fragoso (WORK), Miguel</cp:lastModifiedBy>
  <cp:revision>1</cp:revision>
  <cp:lastPrinted>2025-09-16T15:25:00Z</cp:lastPrinted>
  <dcterms:created xsi:type="dcterms:W3CDTF">2025-09-16T14:52:00Z</dcterms:created>
  <dcterms:modified xsi:type="dcterms:W3CDTF">2025-09-16T15:26:00Z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0x0101007B7E36EB4BFE994581673C1012728504</vt:lpwstr>
  </property>
</Properties>
</file>