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Academic Senate Rules Committee Minutes</w:t>
      </w:r>
    </w:p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February 21, 2018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Meeting opened at 6:03 pm in 3rd Floor West Lounge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Attendance: Martha Horst, Rose Marshack, Connie Dyar, Andy Byars, Andrew Jacobs, Jason Hale, Jack Whitsitt,  Scott Seeman, Michael Torry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Absent: Sam Catanzaro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  <w:t xml:space="preserve">The meeting began with Senator Horst brought the point that the Robert’s Rules are not mentioned in our bylaws. 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  <w:t xml:space="preserve">Senator Horst made a motion to rescind or amend a previous action of the academic senate. 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  <w:t xml:space="preserve">Senator Blum suggested we have a specific time frame for a motion to rescind 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  <w:t xml:space="preserve">The Rules Committee voted in favor of the bylaw change to  to rescind or amend a previous action of the academic senate which has not been enacted requires ⅔ votes 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  <w:t xml:space="preserve">The Rules committee discussed the code of ethics regarding consensual relations 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  <w:t xml:space="preserve">The Rules Committee will pick up on the byaws in the next meeting 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Adjournment 6:57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/>
      </w:pPr>
      <w:r w:rsidDel="00000000" w:rsidR="00000000" w:rsidRPr="00000000">
        <w:rPr>
          <w:rtl w:val="0"/>
        </w:rPr>
        <w:t xml:space="preserve">Senator Jason Hale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97.2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Secretary of the Rules Committee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