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AB69C" w14:textId="2D37E122" w:rsidR="00A12FC5" w:rsidRPr="00A12FC5" w:rsidRDefault="00A12FC5" w:rsidP="00A12FC5">
      <w:pPr>
        <w:jc w:val="center"/>
      </w:pPr>
      <w:r w:rsidRPr="00A12FC5">
        <w:rPr>
          <w:b/>
          <w:bCs/>
        </w:rPr>
        <w:t>University Policy Committee</w:t>
      </w:r>
      <w:r>
        <w:rPr>
          <w:b/>
          <w:bCs/>
        </w:rPr>
        <w:t xml:space="preserve"> Agenda</w:t>
      </w:r>
    </w:p>
    <w:p w14:paraId="33C6A77C" w14:textId="77777777" w:rsidR="00A0558D" w:rsidRDefault="00A0558D" w:rsidP="00A12FC5">
      <w:pPr>
        <w:jc w:val="center"/>
      </w:pPr>
    </w:p>
    <w:p w14:paraId="223C6C72" w14:textId="66966C53" w:rsidR="00A12FC5" w:rsidRDefault="00A12FC5" w:rsidP="00A12FC5">
      <w:pPr>
        <w:jc w:val="center"/>
      </w:pPr>
      <w:r w:rsidRPr="00A12FC5">
        <w:t>Sept</w:t>
      </w:r>
      <w:r w:rsidR="00A0558D">
        <w:t>.</w:t>
      </w:r>
      <w:r w:rsidRPr="00A12FC5">
        <w:t xml:space="preserve"> 1</w:t>
      </w:r>
      <w:r>
        <w:t>0</w:t>
      </w:r>
      <w:r w:rsidRPr="00A12FC5">
        <w:t>, 202</w:t>
      </w:r>
      <w:r>
        <w:t>5</w:t>
      </w:r>
      <w:r w:rsidRPr="00A12FC5">
        <w:t>, 6</w:t>
      </w:r>
      <w:r w:rsidR="00A0558D">
        <w:t>:00</w:t>
      </w:r>
      <w:r w:rsidRPr="00A12FC5">
        <w:t>pm</w:t>
      </w:r>
    </w:p>
    <w:p w14:paraId="1237CCAE" w14:textId="3B3F5E86" w:rsidR="00A0558D" w:rsidRPr="00A12FC5" w:rsidRDefault="00A0558D" w:rsidP="00A12FC5">
      <w:pPr>
        <w:jc w:val="center"/>
      </w:pPr>
      <w:r>
        <w:t>Bone Student Center</w:t>
      </w:r>
    </w:p>
    <w:p w14:paraId="031908F1" w14:textId="74B6FADD" w:rsidR="00A12FC5" w:rsidRDefault="00A12FC5" w:rsidP="00A12FC5">
      <w:pPr>
        <w:jc w:val="center"/>
      </w:pPr>
      <w:r w:rsidRPr="00A12FC5">
        <w:t>4 East Lounge</w:t>
      </w:r>
    </w:p>
    <w:p w14:paraId="238CA920" w14:textId="77777777" w:rsidR="00A12FC5" w:rsidRPr="00A12FC5" w:rsidRDefault="00A12FC5" w:rsidP="00A12FC5"/>
    <w:p w14:paraId="58D6367B" w14:textId="77777777" w:rsidR="00A12FC5" w:rsidRPr="007F7373" w:rsidRDefault="00A12FC5" w:rsidP="00A12FC5">
      <w:pPr>
        <w:rPr>
          <w:rFonts w:cs="Times New Roman"/>
          <w:b/>
          <w:bCs/>
        </w:rPr>
      </w:pPr>
      <w:r w:rsidRPr="007F7373">
        <w:rPr>
          <w:rFonts w:cs="Times New Roman"/>
          <w:b/>
          <w:bCs/>
        </w:rPr>
        <w:t>Call to Order</w:t>
      </w:r>
    </w:p>
    <w:p w14:paraId="4E5EADD1" w14:textId="77777777" w:rsidR="0070785F" w:rsidRDefault="0070785F" w:rsidP="00A12FC5">
      <w:pPr>
        <w:rPr>
          <w:rFonts w:cs="Times New Roman"/>
          <w:b/>
          <w:bCs/>
        </w:rPr>
      </w:pPr>
    </w:p>
    <w:p w14:paraId="00291ABC" w14:textId="045BBC97" w:rsidR="00A12FC5" w:rsidRDefault="00A12FC5" w:rsidP="00A12FC5">
      <w:pPr>
        <w:rPr>
          <w:rFonts w:cs="Times New Roman"/>
          <w:b/>
          <w:bCs/>
        </w:rPr>
      </w:pPr>
      <w:r w:rsidRPr="007F7373">
        <w:rPr>
          <w:rFonts w:cs="Times New Roman"/>
          <w:b/>
          <w:bCs/>
        </w:rPr>
        <w:t>Public Comment</w:t>
      </w:r>
      <w:r w:rsidRPr="00A12FC5">
        <w:rPr>
          <w:rFonts w:cs="Times New Roman"/>
        </w:rPr>
        <w:t xml:space="preserve"> (no more than 2 minutes; names must be submitted to Chair before meeting)</w:t>
      </w:r>
    </w:p>
    <w:p w14:paraId="0C6CA4EF" w14:textId="77777777" w:rsidR="0070785F" w:rsidRDefault="0070785F" w:rsidP="00A12FC5">
      <w:pPr>
        <w:rPr>
          <w:rFonts w:cs="Times New Roman"/>
          <w:b/>
          <w:bCs/>
        </w:rPr>
      </w:pPr>
    </w:p>
    <w:p w14:paraId="2CF4F8F5" w14:textId="213F1746" w:rsidR="00A12FC5" w:rsidRPr="007F7373" w:rsidRDefault="00A12FC5" w:rsidP="00A12FC5">
      <w:pPr>
        <w:rPr>
          <w:rFonts w:cs="Times New Roman"/>
          <w:b/>
          <w:bCs/>
        </w:rPr>
      </w:pPr>
      <w:r w:rsidRPr="007F7373">
        <w:rPr>
          <w:rFonts w:cs="Times New Roman"/>
          <w:b/>
          <w:bCs/>
        </w:rPr>
        <w:t>Roll Call</w:t>
      </w:r>
      <w:r>
        <w:rPr>
          <w:rFonts w:cs="Times New Roman"/>
          <w:b/>
          <w:bCs/>
        </w:rPr>
        <w:t xml:space="preserve"> and Introductions of Committee Members</w:t>
      </w:r>
    </w:p>
    <w:p w14:paraId="1CC842E3" w14:textId="77777777" w:rsidR="00A12FC5" w:rsidRPr="007F7373" w:rsidRDefault="00A12FC5" w:rsidP="00A12FC5">
      <w:pPr>
        <w:rPr>
          <w:rFonts w:cs="Times New Roman"/>
          <w:b/>
          <w:bCs/>
        </w:rPr>
      </w:pPr>
    </w:p>
    <w:p w14:paraId="03F23B31" w14:textId="77777777" w:rsidR="00A12FC5" w:rsidRPr="007F7373" w:rsidRDefault="00A12FC5" w:rsidP="00A12FC5">
      <w:pPr>
        <w:rPr>
          <w:rFonts w:cs="Times New Roman"/>
          <w:b/>
          <w:bCs/>
        </w:rPr>
      </w:pPr>
      <w:r w:rsidRPr="007F7373">
        <w:rPr>
          <w:rFonts w:cs="Times New Roman"/>
          <w:b/>
          <w:bCs/>
        </w:rPr>
        <w:t>Order of Business:</w:t>
      </w:r>
    </w:p>
    <w:p w14:paraId="2E5C70B0" w14:textId="1E0B5778" w:rsidR="00A12FC5" w:rsidRPr="00366935" w:rsidRDefault="00A12FC5" w:rsidP="00366935">
      <w:pPr>
        <w:pStyle w:val="ListParagraph"/>
        <w:numPr>
          <w:ilvl w:val="0"/>
          <w:numId w:val="7"/>
        </w:numPr>
        <w:ind w:left="720"/>
        <w:rPr>
          <w:rFonts w:eastAsia="Aptos" w:cs="Times New Roman"/>
          <w:color w:val="000000" w:themeColor="text1"/>
        </w:rPr>
      </w:pPr>
      <w:r w:rsidRPr="00366935">
        <w:rPr>
          <w:rFonts w:eastAsia="Aptos" w:cs="Times New Roman"/>
          <w:color w:val="000000" w:themeColor="text1"/>
        </w:rPr>
        <w:t xml:space="preserve">Review of committee tasks (from the bylaws of the Senate: </w:t>
      </w:r>
      <w:hyperlink r:id="rId5" w:anchor="Six-SevenPolicy" w:history="1">
        <w:r w:rsidRPr="00366935">
          <w:rPr>
            <w:rStyle w:val="Hyperlink"/>
            <w:rFonts w:eastAsia="Aptos" w:cs="Times New Roman"/>
          </w:rPr>
          <w:t>https://academicsenate.illinoisstate.edu/about/bylaws/#Six-SevenPolicy</w:t>
        </w:r>
      </w:hyperlink>
      <w:r w:rsidR="0070785F">
        <w:t xml:space="preserve">); see the UPC Charge </w:t>
      </w:r>
      <w:r w:rsidR="00A0558D">
        <w:t xml:space="preserve">from Appendix II </w:t>
      </w:r>
      <w:r w:rsidR="0070785F">
        <w:t>document included in the materials for the relevant section</w:t>
      </w:r>
    </w:p>
    <w:p w14:paraId="3127C0F3" w14:textId="4B75E194" w:rsidR="0070785F" w:rsidRDefault="0070785F" w:rsidP="00366935">
      <w:pPr>
        <w:pStyle w:val="ListParagraph"/>
        <w:numPr>
          <w:ilvl w:val="0"/>
          <w:numId w:val="7"/>
        </w:numPr>
        <w:ind w:left="720"/>
        <w:rPr>
          <w:rFonts w:eastAsia="Aptos" w:cs="Times New Roman"/>
          <w:color w:val="000000" w:themeColor="text1"/>
        </w:rPr>
      </w:pPr>
      <w:r>
        <w:rPr>
          <w:rFonts w:eastAsia="Aptos" w:cs="Times New Roman"/>
          <w:color w:val="000000" w:themeColor="text1"/>
        </w:rPr>
        <w:t>Review of UPC priorities for 2025-2026</w:t>
      </w:r>
    </w:p>
    <w:p w14:paraId="5F5360DE" w14:textId="2F6D9D7A" w:rsidR="00A12FC5" w:rsidRDefault="00A12FC5" w:rsidP="00366935">
      <w:pPr>
        <w:pStyle w:val="ListParagraph"/>
        <w:numPr>
          <w:ilvl w:val="0"/>
          <w:numId w:val="7"/>
        </w:numPr>
        <w:ind w:left="720"/>
        <w:rPr>
          <w:rFonts w:eastAsia="Aptos" w:cs="Times New Roman"/>
          <w:color w:val="000000" w:themeColor="text1"/>
        </w:rPr>
      </w:pPr>
      <w:r>
        <w:rPr>
          <w:rFonts w:eastAsia="Aptos" w:cs="Times New Roman"/>
          <w:color w:val="000000" w:themeColor="text1"/>
        </w:rPr>
        <w:t>Begin discussion of 1.17 Code of Ethics and 1.17A Code of Ethics Professional Relationships (proposed version combines these policies)</w:t>
      </w:r>
    </w:p>
    <w:p w14:paraId="21B7F12B" w14:textId="77777777" w:rsidR="00A12FC5" w:rsidRPr="007F7373" w:rsidRDefault="00A12FC5" w:rsidP="00A12FC5">
      <w:pPr>
        <w:rPr>
          <w:rFonts w:cs="Times New Roman"/>
        </w:rPr>
      </w:pPr>
    </w:p>
    <w:p w14:paraId="28ABC86D" w14:textId="77777777" w:rsidR="00A12FC5" w:rsidRPr="007F7373" w:rsidRDefault="00A12FC5" w:rsidP="00A12FC5">
      <w:pPr>
        <w:rPr>
          <w:rFonts w:eastAsia="Aptos" w:cs="Times New Roman"/>
          <w:b/>
          <w:bCs/>
          <w:color w:val="000000" w:themeColor="text1"/>
        </w:rPr>
      </w:pPr>
      <w:r w:rsidRPr="007F7373">
        <w:rPr>
          <w:rFonts w:cs="Times New Roman"/>
          <w:b/>
          <w:bCs/>
        </w:rPr>
        <w:t>Adjourn</w:t>
      </w:r>
    </w:p>
    <w:p w14:paraId="61A7E76C" w14:textId="77777777" w:rsidR="005C1363" w:rsidRDefault="005C1363"/>
    <w:sectPr w:rsidR="005C13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5A70D6"/>
    <w:multiLevelType w:val="multilevel"/>
    <w:tmpl w:val="3D9CE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F95D58"/>
    <w:multiLevelType w:val="multilevel"/>
    <w:tmpl w:val="8B7EDA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E52C6C"/>
    <w:multiLevelType w:val="multilevel"/>
    <w:tmpl w:val="B04286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6FF49A7"/>
    <w:multiLevelType w:val="multilevel"/>
    <w:tmpl w:val="C3DEBD7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E401363"/>
    <w:multiLevelType w:val="multilevel"/>
    <w:tmpl w:val="FF4480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975BF18"/>
    <w:multiLevelType w:val="hybridMultilevel"/>
    <w:tmpl w:val="2FBCBBEC"/>
    <w:lvl w:ilvl="0" w:tplc="0226C398">
      <w:start w:val="1"/>
      <w:numFmt w:val="decimal"/>
      <w:lvlText w:val="%1."/>
      <w:lvlJc w:val="left"/>
      <w:pPr>
        <w:ind w:left="360" w:hanging="360"/>
      </w:pPr>
      <w:rPr>
        <w:rFonts w:ascii="Times New Roman" w:eastAsia="Aptos" w:hAnsi="Times New Roman" w:cs="Times New Roman"/>
      </w:rPr>
    </w:lvl>
    <w:lvl w:ilvl="1" w:tplc="037AC8CE">
      <w:start w:val="1"/>
      <w:numFmt w:val="lowerLetter"/>
      <w:lvlText w:val="%2."/>
      <w:lvlJc w:val="left"/>
      <w:pPr>
        <w:ind w:left="1080" w:hanging="360"/>
      </w:pPr>
    </w:lvl>
    <w:lvl w:ilvl="2" w:tplc="2368C122">
      <w:start w:val="1"/>
      <w:numFmt w:val="lowerRoman"/>
      <w:lvlText w:val="%3."/>
      <w:lvlJc w:val="right"/>
      <w:pPr>
        <w:ind w:left="1800" w:hanging="180"/>
      </w:pPr>
    </w:lvl>
    <w:lvl w:ilvl="3" w:tplc="E9DA0F84">
      <w:start w:val="1"/>
      <w:numFmt w:val="decimal"/>
      <w:lvlText w:val="%4."/>
      <w:lvlJc w:val="left"/>
      <w:pPr>
        <w:ind w:left="2520" w:hanging="360"/>
      </w:pPr>
    </w:lvl>
    <w:lvl w:ilvl="4" w:tplc="BF84AB30">
      <w:start w:val="1"/>
      <w:numFmt w:val="lowerLetter"/>
      <w:lvlText w:val="%5."/>
      <w:lvlJc w:val="left"/>
      <w:pPr>
        <w:ind w:left="3240" w:hanging="360"/>
      </w:pPr>
    </w:lvl>
    <w:lvl w:ilvl="5" w:tplc="C1EE4514">
      <w:start w:val="1"/>
      <w:numFmt w:val="lowerRoman"/>
      <w:lvlText w:val="%6."/>
      <w:lvlJc w:val="right"/>
      <w:pPr>
        <w:ind w:left="3960" w:hanging="180"/>
      </w:pPr>
    </w:lvl>
    <w:lvl w:ilvl="6" w:tplc="7EF4D5E8">
      <w:start w:val="1"/>
      <w:numFmt w:val="decimal"/>
      <w:lvlText w:val="%7."/>
      <w:lvlJc w:val="left"/>
      <w:pPr>
        <w:ind w:left="4680" w:hanging="360"/>
      </w:pPr>
    </w:lvl>
    <w:lvl w:ilvl="7" w:tplc="AE74150C">
      <w:start w:val="1"/>
      <w:numFmt w:val="lowerLetter"/>
      <w:lvlText w:val="%8."/>
      <w:lvlJc w:val="left"/>
      <w:pPr>
        <w:ind w:left="5400" w:hanging="360"/>
      </w:pPr>
    </w:lvl>
    <w:lvl w:ilvl="8" w:tplc="DDEC4490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53C5E63"/>
    <w:multiLevelType w:val="multilevel"/>
    <w:tmpl w:val="66C62B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18612828">
    <w:abstractNumId w:val="0"/>
  </w:num>
  <w:num w:numId="2" w16cid:durableId="1795054036">
    <w:abstractNumId w:val="2"/>
  </w:num>
  <w:num w:numId="3" w16cid:durableId="661394725">
    <w:abstractNumId w:val="6"/>
  </w:num>
  <w:num w:numId="4" w16cid:durableId="471599552">
    <w:abstractNumId w:val="1"/>
  </w:num>
  <w:num w:numId="5" w16cid:durableId="299530957">
    <w:abstractNumId w:val="3"/>
  </w:num>
  <w:num w:numId="6" w16cid:durableId="1991131781">
    <w:abstractNumId w:val="4"/>
  </w:num>
  <w:num w:numId="7" w16cid:durableId="10621429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0B8"/>
    <w:rsid w:val="00347D15"/>
    <w:rsid w:val="00366935"/>
    <w:rsid w:val="0043017C"/>
    <w:rsid w:val="005C1363"/>
    <w:rsid w:val="006540B8"/>
    <w:rsid w:val="0070785F"/>
    <w:rsid w:val="00A0558D"/>
    <w:rsid w:val="00A12FC5"/>
    <w:rsid w:val="00B71F61"/>
    <w:rsid w:val="00EA32AC"/>
    <w:rsid w:val="00FC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07ADB"/>
  <w15:chartTrackingRefBased/>
  <w15:docId w15:val="{5265D859-A641-4142-BCA6-1128C1526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7D15"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40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40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40B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40B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40B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40B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40B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40B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40B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40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40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40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40B8"/>
    <w:rPr>
      <w:rFonts w:eastAsiaTheme="majorEastAsia" w:cstheme="majorBidi"/>
      <w:i/>
      <w:iCs/>
      <w:color w:val="0F4761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40B8"/>
    <w:rPr>
      <w:rFonts w:eastAsiaTheme="majorEastAsia" w:cstheme="majorBidi"/>
      <w:color w:val="0F4761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40B8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40B8"/>
    <w:rPr>
      <w:rFonts w:eastAsiaTheme="majorEastAsia" w:cstheme="majorBidi"/>
      <w:color w:val="595959" w:themeColor="text1" w:themeTint="A6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40B8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40B8"/>
    <w:rPr>
      <w:rFonts w:eastAsiaTheme="majorEastAsia" w:cstheme="majorBidi"/>
      <w:color w:val="272727" w:themeColor="text1" w:themeTint="D8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6540B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40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40B8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40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40B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40B8"/>
    <w:rPr>
      <w:rFonts w:ascii="Times New Roman" w:hAnsi="Times New Roman"/>
      <w:i/>
      <w:iCs/>
      <w:color w:val="404040" w:themeColor="text1" w:themeTint="BF"/>
      <w:sz w:val="24"/>
    </w:rPr>
  </w:style>
  <w:style w:type="paragraph" w:styleId="ListParagraph">
    <w:name w:val="List Paragraph"/>
    <w:basedOn w:val="Normal"/>
    <w:uiPriority w:val="34"/>
    <w:qFormat/>
    <w:rsid w:val="006540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40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40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40B8"/>
    <w:rPr>
      <w:rFonts w:ascii="Times New Roman" w:hAnsi="Times New Roman"/>
      <w:i/>
      <w:iCs/>
      <w:color w:val="0F4761" w:themeColor="accent1" w:themeShade="BF"/>
      <w:sz w:val="24"/>
    </w:rPr>
  </w:style>
  <w:style w:type="character" w:styleId="IntenseReference">
    <w:name w:val="Intense Reference"/>
    <w:basedOn w:val="DefaultParagraphFont"/>
    <w:uiPriority w:val="32"/>
    <w:qFormat/>
    <w:rsid w:val="006540B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12FC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2F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14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0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5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7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7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1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6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4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3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cademicsenate.illinoisstate.edu/about/bylaw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Illinois State University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Stewart, Todd</dc:creator>
  <cp:keywords/>
  <dc:description/>
  <cp:lastModifiedBy>Stewart, Todd</cp:lastModifiedBy>
  <cp:revision>5</cp:revision>
  <dcterms:created xsi:type="dcterms:W3CDTF">2025-09-03T19:19:00Z</dcterms:created>
  <dcterms:modified xsi:type="dcterms:W3CDTF">2025-09-05T19:06:00Z</dcterms:modified>
</cp:coreProperties>
</file>