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53E" w:rsidRPr="008650FE" w:rsidRDefault="008650FE" w:rsidP="008650FE">
      <w:pPr>
        <w:pStyle w:val="NoSpacing"/>
        <w:rPr>
          <w:b/>
        </w:rPr>
      </w:pPr>
      <w:r w:rsidRPr="008650FE">
        <w:rPr>
          <w:b/>
        </w:rPr>
        <w:t>10.02.17.04</w:t>
      </w:r>
    </w:p>
    <w:p w:rsidR="008650FE" w:rsidRPr="008650FE" w:rsidRDefault="008650FE" w:rsidP="008650FE">
      <w:pPr>
        <w:pStyle w:val="NoSpacing"/>
        <w:rPr>
          <w:b/>
        </w:rPr>
      </w:pPr>
      <w:r w:rsidRPr="008650FE">
        <w:rPr>
          <w:b/>
        </w:rPr>
        <w:t>From Senate Chair</w:t>
      </w:r>
    </w:p>
    <w:p w:rsidR="008650FE" w:rsidRDefault="008650FE" w:rsidP="008650FE">
      <w:pPr>
        <w:pStyle w:val="NoSpacing"/>
        <w:rPr>
          <w:b/>
        </w:rPr>
      </w:pPr>
      <w:r w:rsidRPr="008650FE">
        <w:rPr>
          <w:b/>
        </w:rPr>
        <w:t>Dist. to Faculty Caucus 10/11/17</w:t>
      </w:r>
    </w:p>
    <w:p w:rsidR="008650FE" w:rsidRDefault="008650FE" w:rsidP="008650FE">
      <w:pPr>
        <w:pStyle w:val="NoSpacing"/>
        <w:rPr>
          <w:b/>
        </w:rPr>
      </w:pPr>
    </w:p>
    <w:p w:rsidR="008650FE" w:rsidRPr="008650FE" w:rsidRDefault="008650FE" w:rsidP="008650FE">
      <w:pPr>
        <w:shd w:val="clear" w:color="auto" w:fill="FFFFFF"/>
        <w:spacing w:before="240" w:after="120" w:line="240" w:lineRule="auto"/>
        <w:outlineLvl w:val="0"/>
        <w:rPr>
          <w:rFonts w:ascii="Helvetica" w:eastAsia="Times New Roman" w:hAnsi="Helvetica" w:cs="Helvetica"/>
          <w:b/>
          <w:bCs/>
          <w:color w:val="000000"/>
          <w:kern w:val="36"/>
          <w:sz w:val="48"/>
          <w:szCs w:val="48"/>
        </w:rPr>
      </w:pPr>
      <w:bookmarkStart w:id="0" w:name="_GoBack"/>
      <w:r w:rsidRPr="008650FE">
        <w:rPr>
          <w:rFonts w:ascii="Helvetica" w:eastAsia="Times New Roman" w:hAnsi="Helvetica" w:cs="Helvetica"/>
          <w:b/>
          <w:bCs/>
          <w:color w:val="000000"/>
          <w:kern w:val="36"/>
          <w:sz w:val="48"/>
          <w:szCs w:val="48"/>
        </w:rPr>
        <w:t>Statement on Procedural Standards in Faculty Dismissal Proceedings</w:t>
      </w:r>
    </w:p>
    <w:bookmarkEnd w:id="0"/>
    <w:p w:rsidR="008650FE" w:rsidRPr="008650FE" w:rsidRDefault="008650FE" w:rsidP="008650FE">
      <w:pPr>
        <w:shd w:val="clear" w:color="auto" w:fill="FFFFFF"/>
        <w:spacing w:after="288" w:line="240" w:lineRule="auto"/>
        <w:rPr>
          <w:rFonts w:ascii="Helvetica" w:eastAsia="Times New Roman" w:hAnsi="Helvetica" w:cs="Helvetica"/>
          <w:color w:val="484548"/>
        </w:rPr>
      </w:pPr>
      <w:r w:rsidRPr="008650FE">
        <w:rPr>
          <w:rFonts w:ascii="Helvetica" w:eastAsia="Times New Roman" w:hAnsi="Helvetica" w:cs="Helvetica"/>
          <w:i/>
          <w:iCs/>
          <w:color w:val="484548"/>
        </w:rPr>
        <w:t>The following statement was prepared by a joint committee representing the Association of American Colleges (now the Association of American Colleges and Universities) and the American Association of University Professors and was approved by these two associations at their annual meetings in 1958. It supplements the </w:t>
      </w:r>
      <w:hyperlink r:id="rId5" w:history="1">
        <w:r w:rsidRPr="008650FE">
          <w:rPr>
            <w:rFonts w:ascii="Helvetica" w:eastAsia="Times New Roman" w:hAnsi="Helvetica" w:cs="Helvetica"/>
            <w:color w:val="007AAD"/>
            <w:u w:val="single"/>
          </w:rPr>
          <w:t>1940 Statement of Principles on Academic Freedom and Tenure</w:t>
        </w:r>
      </w:hyperlink>
      <w:r w:rsidRPr="008650FE">
        <w:rPr>
          <w:rFonts w:ascii="Helvetica" w:eastAsia="Times New Roman" w:hAnsi="Helvetica" w:cs="Helvetica"/>
          <w:i/>
          <w:iCs/>
          <w:color w:val="484548"/>
        </w:rPr>
        <w:t> by providing a formulation of the “academic due process” that should be observed in dismissal proceedings. The exact procedural standards here set forth, however, “are not intended to establish a norm in the same manner as the </w:t>
      </w:r>
      <w:r w:rsidRPr="008650FE">
        <w:rPr>
          <w:rFonts w:ascii="Helvetica" w:eastAsia="Times New Roman" w:hAnsi="Helvetica" w:cs="Helvetica"/>
          <w:color w:val="484548"/>
        </w:rPr>
        <w:t>1940 Statement of Principles on Academic Freedom and Tenure</w:t>
      </w:r>
      <w:r w:rsidRPr="008650FE">
        <w:rPr>
          <w:rFonts w:ascii="Helvetica" w:eastAsia="Times New Roman" w:hAnsi="Helvetica" w:cs="Helvetica"/>
          <w:i/>
          <w:iCs/>
          <w:color w:val="484548"/>
        </w:rPr>
        <w:t>, but are presented rather as a guide. . . .”</w:t>
      </w:r>
    </w:p>
    <w:p w:rsidR="008650FE" w:rsidRPr="008650FE" w:rsidRDefault="008650FE" w:rsidP="008650FE">
      <w:pPr>
        <w:shd w:val="clear" w:color="auto" w:fill="FFFFFF"/>
        <w:spacing w:after="288" w:line="240" w:lineRule="auto"/>
        <w:rPr>
          <w:rFonts w:ascii="Helvetica" w:eastAsia="Times New Roman" w:hAnsi="Helvetica" w:cs="Helvetica"/>
          <w:color w:val="484548"/>
        </w:rPr>
      </w:pPr>
      <w:r w:rsidRPr="008650FE">
        <w:rPr>
          <w:rFonts w:ascii="Helvetica" w:eastAsia="Times New Roman" w:hAnsi="Helvetica" w:cs="Helvetica"/>
          <w:i/>
          <w:iCs/>
          <w:color w:val="484548"/>
        </w:rPr>
        <w:t>The governing bodies of the American Association of University Professors and the Association of American Colleges, meeting respectively in November 1989 and January 1990, adopted several changes in language in order to remove gender-specific references from the original text.</w:t>
      </w:r>
    </w:p>
    <w:p w:rsidR="008650FE" w:rsidRPr="008650FE" w:rsidRDefault="008650FE" w:rsidP="008650FE">
      <w:pPr>
        <w:shd w:val="clear" w:color="auto" w:fill="FFFFFF"/>
        <w:spacing w:after="0" w:line="240" w:lineRule="auto"/>
        <w:rPr>
          <w:rFonts w:ascii="Helvetica" w:eastAsia="Times New Roman" w:hAnsi="Helvetica" w:cs="Helvetica"/>
          <w:color w:val="484548"/>
        </w:rPr>
      </w:pPr>
      <w:r w:rsidRPr="008650FE">
        <w:rPr>
          <w:rFonts w:ascii="Helvetica" w:eastAsia="Times New Roman" w:hAnsi="Helvetica" w:cs="Helvetica"/>
          <w:color w:val="484548"/>
        </w:rPr>
        <w:pict>
          <v:rect id="_x0000_i1025" style="width:0;height:.75pt" o:hralign="center" o:hrstd="t" o:hr="t" fillcolor="#a0a0a0" stroked="f"/>
        </w:pict>
      </w:r>
    </w:p>
    <w:p w:rsidR="008650FE" w:rsidRPr="008650FE" w:rsidRDefault="008650FE" w:rsidP="008650FE">
      <w:pPr>
        <w:shd w:val="clear" w:color="auto" w:fill="FFFFFF"/>
        <w:spacing w:before="240" w:after="30" w:line="240" w:lineRule="auto"/>
        <w:outlineLvl w:val="1"/>
        <w:rPr>
          <w:rFonts w:ascii="Helvetica" w:eastAsia="Times New Roman" w:hAnsi="Helvetica" w:cs="Helvetica"/>
          <w:b/>
          <w:bCs/>
          <w:color w:val="484548"/>
          <w:sz w:val="31"/>
          <w:szCs w:val="31"/>
        </w:rPr>
      </w:pPr>
      <w:r w:rsidRPr="008650FE">
        <w:rPr>
          <w:rFonts w:ascii="Helvetica" w:eastAsia="Times New Roman" w:hAnsi="Helvetica" w:cs="Helvetica"/>
          <w:b/>
          <w:bCs/>
          <w:color w:val="484548"/>
          <w:sz w:val="31"/>
          <w:szCs w:val="31"/>
        </w:rPr>
        <w:t>Introductory Comments</w:t>
      </w:r>
    </w:p>
    <w:p w:rsidR="008650FE" w:rsidRPr="008650FE" w:rsidRDefault="008650FE" w:rsidP="008650FE">
      <w:pPr>
        <w:shd w:val="clear" w:color="auto" w:fill="FFFFFF"/>
        <w:spacing w:after="288" w:line="240" w:lineRule="auto"/>
        <w:rPr>
          <w:rFonts w:ascii="Helvetica" w:eastAsia="Times New Roman" w:hAnsi="Helvetica" w:cs="Helvetica"/>
          <w:color w:val="484548"/>
        </w:rPr>
      </w:pPr>
      <w:r w:rsidRPr="008650FE">
        <w:rPr>
          <w:rFonts w:ascii="Helvetica" w:eastAsia="Times New Roman" w:hAnsi="Helvetica" w:cs="Helvetica"/>
          <w:color w:val="484548"/>
        </w:rPr>
        <w:t>Any approach toward settling the difficulties which have beset dismissal proceedings on many American campuses must look beyond procedure into setting and cause. A dismissal proceeding is a symptom of failure; no amount of use of removal process will help strengthen higher education as much as will the cultivation of conditions in which dismissals rarely, if ever, need occur.</w:t>
      </w:r>
    </w:p>
    <w:p w:rsidR="008650FE" w:rsidRPr="008650FE" w:rsidRDefault="008650FE" w:rsidP="008650FE">
      <w:pPr>
        <w:shd w:val="clear" w:color="auto" w:fill="FFFFFF"/>
        <w:spacing w:after="288" w:line="240" w:lineRule="auto"/>
        <w:rPr>
          <w:rFonts w:ascii="Helvetica" w:eastAsia="Times New Roman" w:hAnsi="Helvetica" w:cs="Helvetica"/>
          <w:color w:val="484548"/>
        </w:rPr>
      </w:pPr>
      <w:r w:rsidRPr="008650FE">
        <w:rPr>
          <w:rFonts w:ascii="Helvetica" w:eastAsia="Times New Roman" w:hAnsi="Helvetica" w:cs="Helvetica"/>
          <w:color w:val="484548"/>
        </w:rPr>
        <w:t xml:space="preserve">Just as the board of control or other governing body is the legal and fiscal corporation of the college, the faculty is the academic entity. Historically, the academic corporation is the older. Faculties were formed in the </w:t>
      </w:r>
      <w:proofErr w:type="gramStart"/>
      <w:r w:rsidRPr="008650FE">
        <w:rPr>
          <w:rFonts w:ascii="Helvetica" w:eastAsia="Times New Roman" w:hAnsi="Helvetica" w:cs="Helvetica"/>
          <w:color w:val="484548"/>
        </w:rPr>
        <w:t>Middle</w:t>
      </w:r>
      <w:proofErr w:type="gramEnd"/>
      <w:r w:rsidRPr="008650FE">
        <w:rPr>
          <w:rFonts w:ascii="Helvetica" w:eastAsia="Times New Roman" w:hAnsi="Helvetica" w:cs="Helvetica"/>
          <w:color w:val="484548"/>
        </w:rPr>
        <w:t xml:space="preserve"> Ages, with managerial affairs either self-arranged or handled in course by the parent church. Modern college faculties, on the other hand, are part of a complex and extensive structure requiring legal incorporation, with stewards and managers specifically appointed to discharge certain functions.</w:t>
      </w:r>
    </w:p>
    <w:p w:rsidR="008650FE" w:rsidRPr="008650FE" w:rsidRDefault="008650FE" w:rsidP="008650FE">
      <w:pPr>
        <w:shd w:val="clear" w:color="auto" w:fill="FFFFFF"/>
        <w:spacing w:after="288" w:line="240" w:lineRule="auto"/>
        <w:rPr>
          <w:rFonts w:ascii="Helvetica" w:eastAsia="Times New Roman" w:hAnsi="Helvetica" w:cs="Helvetica"/>
          <w:color w:val="484548"/>
        </w:rPr>
      </w:pPr>
      <w:r w:rsidRPr="008650FE">
        <w:rPr>
          <w:rFonts w:ascii="Helvetica" w:eastAsia="Times New Roman" w:hAnsi="Helvetica" w:cs="Helvetica"/>
          <w:color w:val="484548"/>
        </w:rPr>
        <w:t>Nonetheless, the faculty of a modern college constitutes an entity as real as that of the faculties of medieval times, in terms of collective purpose and function. A necessary precondition of a strong faculty is that it have first-hand concern with its own membership. This is properly reflected both in appointments to and in separations from the faculty body.</w:t>
      </w:r>
    </w:p>
    <w:p w:rsidR="008650FE" w:rsidRPr="008650FE" w:rsidRDefault="008650FE" w:rsidP="008650FE">
      <w:pPr>
        <w:shd w:val="clear" w:color="auto" w:fill="FFFFFF"/>
        <w:spacing w:after="288" w:line="240" w:lineRule="auto"/>
        <w:rPr>
          <w:rFonts w:ascii="Helvetica" w:eastAsia="Times New Roman" w:hAnsi="Helvetica" w:cs="Helvetica"/>
          <w:color w:val="484548"/>
        </w:rPr>
      </w:pPr>
      <w:r w:rsidRPr="008650FE">
        <w:rPr>
          <w:rFonts w:ascii="Helvetica" w:eastAsia="Times New Roman" w:hAnsi="Helvetica" w:cs="Helvetica"/>
          <w:color w:val="484548"/>
        </w:rPr>
        <w:t xml:space="preserve">A well-organized institution will reflect sympathetic understanding by trustees and teachers alike of their respective and complementary roles. These should be spelled out carefully in writing and made available to all. Trustees and faculty should understand and agree on their several functions in determining who shall join and who shall remain on the faculty. One of the prime duties of the administrator is to help preserve understanding of those functions. It seems clear </w:t>
      </w:r>
      <w:r w:rsidRPr="008650FE">
        <w:rPr>
          <w:rFonts w:ascii="Helvetica" w:eastAsia="Times New Roman" w:hAnsi="Helvetica" w:cs="Helvetica"/>
          <w:color w:val="484548"/>
        </w:rPr>
        <w:lastRenderedPageBreak/>
        <w:t>on the American college scene that a close positive relationship exists between the excellence of colleges, the strength of their faculties, and the extent of faculty responsibility in determining faculty membership. Such a condition is in no way inconsistent with full faculty awareness of institutional factors with which governing boards must be primarily concerned.</w:t>
      </w:r>
    </w:p>
    <w:p w:rsidR="008650FE" w:rsidRPr="008650FE" w:rsidRDefault="008650FE" w:rsidP="008650FE">
      <w:pPr>
        <w:shd w:val="clear" w:color="auto" w:fill="FFFFFF"/>
        <w:spacing w:after="288" w:line="240" w:lineRule="auto"/>
        <w:rPr>
          <w:rFonts w:ascii="Helvetica" w:eastAsia="Times New Roman" w:hAnsi="Helvetica" w:cs="Helvetica"/>
          <w:color w:val="484548"/>
        </w:rPr>
      </w:pPr>
      <w:r w:rsidRPr="008650FE">
        <w:rPr>
          <w:rFonts w:ascii="Helvetica" w:eastAsia="Times New Roman" w:hAnsi="Helvetica" w:cs="Helvetica"/>
          <w:color w:val="484548"/>
        </w:rPr>
        <w:t>In the effective college, a dismissal proceeding involving a faculty member on tenure, or one occurring during the term of an appointment, will be a rare exception, caused by individual human weakness and not by an unhealthful setting. When it does come, however, the college should be prepared for it, so that both institutional integrity and individual human rights may be preserved during the process of resolving the trouble. The faculty must be willing to recommend the dismissal of a colleague when necessary. By the same token, presidents and governing boards must be willing to give full weight to a faculty judgment favorable to a colleague.</w:t>
      </w:r>
    </w:p>
    <w:p w:rsidR="008650FE" w:rsidRPr="008650FE" w:rsidRDefault="008650FE" w:rsidP="008650FE">
      <w:pPr>
        <w:shd w:val="clear" w:color="auto" w:fill="FFFFFF"/>
        <w:spacing w:after="288" w:line="240" w:lineRule="auto"/>
        <w:rPr>
          <w:rFonts w:ascii="Helvetica" w:eastAsia="Times New Roman" w:hAnsi="Helvetica" w:cs="Helvetica"/>
          <w:color w:val="484548"/>
        </w:rPr>
      </w:pPr>
      <w:r w:rsidRPr="008650FE">
        <w:rPr>
          <w:rFonts w:ascii="Helvetica" w:eastAsia="Times New Roman" w:hAnsi="Helvetica" w:cs="Helvetica"/>
          <w:color w:val="484548"/>
        </w:rPr>
        <w:t>One persistent source of difficulty is the definition of adequate cause for the dismissal of a faculty member. Despite the 1940 </w:t>
      </w:r>
      <w:r w:rsidRPr="008650FE">
        <w:rPr>
          <w:rFonts w:ascii="Helvetica" w:eastAsia="Times New Roman" w:hAnsi="Helvetica" w:cs="Helvetica"/>
          <w:i/>
          <w:iCs/>
          <w:color w:val="484548"/>
        </w:rPr>
        <w:t>Statement of Principles on Academic Freedom and Tenure </w:t>
      </w:r>
      <w:r w:rsidRPr="008650FE">
        <w:rPr>
          <w:rFonts w:ascii="Helvetica" w:eastAsia="Times New Roman" w:hAnsi="Helvetica" w:cs="Helvetica"/>
          <w:color w:val="484548"/>
        </w:rPr>
        <w:t>and subsequent attempts to build upon it, considerable ambiguity and misunderstanding persist throughout higher education, especially in the respective conceptions of governing boards, administrative officers, and faculties concerning this matter. The present statement assumes that individual institutions will have formulated their own definitions of adequate cause for dismissal, bearing in mind the 1940 </w:t>
      </w:r>
      <w:r w:rsidRPr="008650FE">
        <w:rPr>
          <w:rFonts w:ascii="Helvetica" w:eastAsia="Times New Roman" w:hAnsi="Helvetica" w:cs="Helvetica"/>
          <w:i/>
          <w:iCs/>
          <w:color w:val="484548"/>
        </w:rPr>
        <w:t>Statement </w:t>
      </w:r>
      <w:r w:rsidRPr="008650FE">
        <w:rPr>
          <w:rFonts w:ascii="Helvetica" w:eastAsia="Times New Roman" w:hAnsi="Helvetica" w:cs="Helvetica"/>
          <w:color w:val="484548"/>
        </w:rPr>
        <w:t>and standards that have developed in the experience of academic institutions.</w:t>
      </w:r>
    </w:p>
    <w:p w:rsidR="008650FE" w:rsidRPr="008650FE" w:rsidRDefault="008650FE" w:rsidP="008650FE">
      <w:pPr>
        <w:shd w:val="clear" w:color="auto" w:fill="FFFFFF"/>
        <w:spacing w:after="288" w:line="240" w:lineRule="auto"/>
        <w:rPr>
          <w:rFonts w:ascii="Helvetica" w:eastAsia="Times New Roman" w:hAnsi="Helvetica" w:cs="Helvetica"/>
          <w:color w:val="484548"/>
        </w:rPr>
      </w:pPr>
      <w:r w:rsidRPr="008650FE">
        <w:rPr>
          <w:rFonts w:ascii="Helvetica" w:eastAsia="Times New Roman" w:hAnsi="Helvetica" w:cs="Helvetica"/>
          <w:color w:val="484548"/>
        </w:rPr>
        <w:t>This statement deals with procedural standards. Those recommended are not intended to establish a norm in the same manner as the 1940 </w:t>
      </w:r>
      <w:r w:rsidRPr="008650FE">
        <w:rPr>
          <w:rFonts w:ascii="Helvetica" w:eastAsia="Times New Roman" w:hAnsi="Helvetica" w:cs="Helvetica"/>
          <w:i/>
          <w:iCs/>
          <w:color w:val="484548"/>
        </w:rPr>
        <w:t>Statement of Principles on Academic Freedom and Tenure, </w:t>
      </w:r>
      <w:r w:rsidRPr="008650FE">
        <w:rPr>
          <w:rFonts w:ascii="Helvetica" w:eastAsia="Times New Roman" w:hAnsi="Helvetica" w:cs="Helvetica"/>
          <w:color w:val="484548"/>
        </w:rPr>
        <w:t>but are presented rather as a guide to be used according to the nature and traditions of particular institutions in giving effect to both faculty tenure rights and the obligations of faculty members in the academic community.</w:t>
      </w:r>
    </w:p>
    <w:p w:rsidR="008650FE" w:rsidRPr="008650FE" w:rsidRDefault="008650FE" w:rsidP="008650FE">
      <w:pPr>
        <w:shd w:val="clear" w:color="auto" w:fill="FFFFFF"/>
        <w:spacing w:before="240" w:after="30" w:line="240" w:lineRule="auto"/>
        <w:outlineLvl w:val="1"/>
        <w:rPr>
          <w:rFonts w:ascii="Helvetica" w:eastAsia="Times New Roman" w:hAnsi="Helvetica" w:cs="Helvetica"/>
          <w:b/>
          <w:bCs/>
          <w:color w:val="484548"/>
          <w:sz w:val="31"/>
          <w:szCs w:val="31"/>
        </w:rPr>
      </w:pPr>
      <w:r w:rsidRPr="008650FE">
        <w:rPr>
          <w:rFonts w:ascii="Helvetica" w:eastAsia="Times New Roman" w:hAnsi="Helvetica" w:cs="Helvetica"/>
          <w:b/>
          <w:bCs/>
          <w:color w:val="484548"/>
          <w:sz w:val="31"/>
          <w:szCs w:val="31"/>
        </w:rPr>
        <w:t>Procedural Recommendations</w:t>
      </w:r>
    </w:p>
    <w:p w:rsidR="008650FE" w:rsidRPr="008650FE" w:rsidRDefault="008650FE" w:rsidP="008650FE">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484548"/>
        </w:rPr>
      </w:pPr>
      <w:r w:rsidRPr="008650FE">
        <w:rPr>
          <w:rFonts w:ascii="Helvetica" w:eastAsia="Times New Roman" w:hAnsi="Helvetica" w:cs="Helvetica"/>
          <w:i/>
          <w:iCs/>
          <w:color w:val="484548"/>
        </w:rPr>
        <w:t>Preliminary Proceedings Concerning the Fitness of a Faculty Member. </w:t>
      </w:r>
      <w:r w:rsidRPr="008650FE">
        <w:rPr>
          <w:rFonts w:ascii="Helvetica" w:eastAsia="Times New Roman" w:hAnsi="Helvetica" w:cs="Helvetica"/>
          <w:color w:val="484548"/>
        </w:rPr>
        <w:t>When reasons arise to question the fitness of a college or university faculty member who has tenure or whose term appointment has not expired, the appropriate administrative officers should ordinarily discuss the matter with the faculty member in personal conference. The matter may be terminated by mutual consent at this point; but if an adjustment does not result, a standing or ad hoc committee elected by the faculty and charged with the function of rendering confidential advice in such situations should informally inquire into the situation, to effect an adjustment, if possible, and, if none is effected, to determine whether in its view formal proceedings to consider the faculty member’s dismissal should be instituted. If the committee recommends that such proceedings should be begun, or if the president of the institution, even after considering a recommendation of the committee favorable to the faculty member, expresses the conviction that a proceeding should be undertaken, action should be commenced under the procedures that follow. Except where there is disagreement, a statement with reasonable particularity of the grounds proposed for the dismissal should then be jointly formulated by the president and the faculty committee; if there is disagreement, the president or the president’s representative should formulate the statement.</w:t>
      </w:r>
    </w:p>
    <w:p w:rsidR="008650FE" w:rsidRPr="008650FE" w:rsidRDefault="008650FE" w:rsidP="008650FE">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484548"/>
        </w:rPr>
      </w:pPr>
      <w:r w:rsidRPr="008650FE">
        <w:rPr>
          <w:rFonts w:ascii="Helvetica" w:eastAsia="Times New Roman" w:hAnsi="Helvetica" w:cs="Helvetica"/>
          <w:i/>
          <w:iCs/>
          <w:color w:val="484548"/>
        </w:rPr>
        <w:t>Commencement of Formal Proceedings. </w:t>
      </w:r>
      <w:r w:rsidRPr="008650FE">
        <w:rPr>
          <w:rFonts w:ascii="Helvetica" w:eastAsia="Times New Roman" w:hAnsi="Helvetica" w:cs="Helvetica"/>
          <w:color w:val="484548"/>
        </w:rPr>
        <w:t xml:space="preserve">The formal proceedings should be commenced by a communication addressed to the faculty member by the president of the institution, informing the faculty member of the statement formulated, and also informing the faculty member that, at the faculty member’s request, a hearing will be conducted by a faculty committee at a specified </w:t>
      </w:r>
      <w:r w:rsidRPr="008650FE">
        <w:rPr>
          <w:rFonts w:ascii="Helvetica" w:eastAsia="Times New Roman" w:hAnsi="Helvetica" w:cs="Helvetica"/>
          <w:color w:val="484548"/>
        </w:rPr>
        <w:lastRenderedPageBreak/>
        <w:t>time and place to determine whether he or she should be removed from the faculty position on the grounds stated. In setting the date of the hearing, sufficient time should be allowed the faculty member to prepare a defense. The faculty member should be informed, in detail or by reference to published regulations, of the procedural rights that will be accorded. The faculty member should state in reply whether he or she wishes a hearing, and, if so, should answer in writing, not less than one week before the date set for the hearing, the statements in the president’s letter.</w:t>
      </w:r>
    </w:p>
    <w:p w:rsidR="008650FE" w:rsidRPr="008650FE" w:rsidRDefault="008650FE" w:rsidP="008650FE">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484548"/>
        </w:rPr>
      </w:pPr>
      <w:r w:rsidRPr="008650FE">
        <w:rPr>
          <w:rFonts w:ascii="Helvetica" w:eastAsia="Times New Roman" w:hAnsi="Helvetica" w:cs="Helvetica"/>
          <w:i/>
          <w:iCs/>
          <w:color w:val="484548"/>
        </w:rPr>
        <w:t>Suspension of the Faculty Member. </w:t>
      </w:r>
      <w:r w:rsidRPr="008650FE">
        <w:rPr>
          <w:rFonts w:ascii="Helvetica" w:eastAsia="Times New Roman" w:hAnsi="Helvetica" w:cs="Helvetica"/>
          <w:color w:val="484548"/>
        </w:rPr>
        <w:t>Suspension of the faculty member during the proceedings is justified only if immediate harm to the faculty member or others is threatened by the faculty member’s continuance. Unless legal considerations forbid, any such suspension should be with pay.</w:t>
      </w:r>
    </w:p>
    <w:p w:rsidR="008650FE" w:rsidRPr="008650FE" w:rsidRDefault="008650FE" w:rsidP="008650FE">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484548"/>
        </w:rPr>
      </w:pPr>
      <w:r w:rsidRPr="008650FE">
        <w:rPr>
          <w:rFonts w:ascii="Helvetica" w:eastAsia="Times New Roman" w:hAnsi="Helvetica" w:cs="Helvetica"/>
          <w:i/>
          <w:iCs/>
          <w:color w:val="484548"/>
        </w:rPr>
        <w:t>Hearing Committee. </w:t>
      </w:r>
      <w:r w:rsidRPr="008650FE">
        <w:rPr>
          <w:rFonts w:ascii="Helvetica" w:eastAsia="Times New Roman" w:hAnsi="Helvetica" w:cs="Helvetica"/>
          <w:color w:val="484548"/>
        </w:rPr>
        <w:t>The committee of faculty members to conduct the hearing and reach a decision should be either an elected standing committee not previously concerned with the case or a committee established as soon as possible after the president’s letter to the faculty member has been sent. The choice of members of the hearing committee should be on the basis of their objectivity and competence and of the regard in which they are held in the academic community. The committee should elect its own chair.</w:t>
      </w:r>
    </w:p>
    <w:p w:rsidR="008650FE" w:rsidRPr="008650FE" w:rsidRDefault="008650FE" w:rsidP="008650FE">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484548"/>
        </w:rPr>
      </w:pPr>
      <w:r w:rsidRPr="008650FE">
        <w:rPr>
          <w:rFonts w:ascii="Helvetica" w:eastAsia="Times New Roman" w:hAnsi="Helvetica" w:cs="Helvetica"/>
          <w:i/>
          <w:iCs/>
          <w:color w:val="484548"/>
        </w:rPr>
        <w:t>Committee Proceeding. </w:t>
      </w:r>
      <w:r w:rsidRPr="008650FE">
        <w:rPr>
          <w:rFonts w:ascii="Helvetica" w:eastAsia="Times New Roman" w:hAnsi="Helvetica" w:cs="Helvetica"/>
          <w:color w:val="484548"/>
        </w:rPr>
        <w:t>The committee should proceed by considering the statement of grounds for dismissal already formulated, and the faculty member’s response written before the time of the hearing. If the faculty member has not requested a hearing, the committee should consider the case on the basis of the obtainable information and decide whether the faculty member should be removed; otherwise, the hearing should go forward. The committee, in consultation with the president and the faculty member, should exercise its judgment as to whether the hearing should be public or private. If any facts are in dispute, the testimony of witnesses and other evidence concerning the matters set forth in the president’s letter to the faculty member should be received.</w:t>
      </w:r>
    </w:p>
    <w:p w:rsidR="008650FE" w:rsidRPr="008650FE" w:rsidRDefault="008650FE" w:rsidP="008650FE">
      <w:pPr>
        <w:shd w:val="clear" w:color="auto" w:fill="FFFFFF"/>
        <w:spacing w:after="288" w:line="240" w:lineRule="auto"/>
        <w:rPr>
          <w:rFonts w:ascii="Helvetica" w:eastAsia="Times New Roman" w:hAnsi="Helvetica" w:cs="Helvetica"/>
          <w:color w:val="484548"/>
        </w:rPr>
      </w:pPr>
      <w:r w:rsidRPr="008650FE">
        <w:rPr>
          <w:rFonts w:ascii="Helvetica" w:eastAsia="Times New Roman" w:hAnsi="Helvetica" w:cs="Helvetica"/>
          <w:color w:val="484548"/>
        </w:rPr>
        <w:t>The president should have the option of attendance during the hearing. The president may designate an appropriate representative to assist in developing the case; but the committee should determine the order of proof, should normally conduct the questioning of witnesses, and, if necessary, should secure the presentation of evidence important to the case.</w:t>
      </w:r>
    </w:p>
    <w:p w:rsidR="008650FE" w:rsidRPr="008650FE" w:rsidRDefault="008650FE" w:rsidP="008650FE">
      <w:pPr>
        <w:shd w:val="clear" w:color="auto" w:fill="FFFFFF"/>
        <w:spacing w:after="288" w:line="240" w:lineRule="auto"/>
        <w:rPr>
          <w:rFonts w:ascii="Helvetica" w:eastAsia="Times New Roman" w:hAnsi="Helvetica" w:cs="Helvetica"/>
          <w:color w:val="484548"/>
        </w:rPr>
      </w:pPr>
      <w:r w:rsidRPr="008650FE">
        <w:rPr>
          <w:rFonts w:ascii="Helvetica" w:eastAsia="Times New Roman" w:hAnsi="Helvetica" w:cs="Helvetica"/>
          <w:color w:val="484548"/>
        </w:rPr>
        <w:t xml:space="preserve">The faculty member should have the option of assistance by counsel, whose functions should be similar to those of the representative chosen by the president. The </w:t>
      </w:r>
      <w:proofErr w:type="gramStart"/>
      <w:r w:rsidRPr="008650FE">
        <w:rPr>
          <w:rFonts w:ascii="Helvetica" w:eastAsia="Times New Roman" w:hAnsi="Helvetica" w:cs="Helvetica"/>
          <w:color w:val="484548"/>
        </w:rPr>
        <w:t>faculty  member</w:t>
      </w:r>
      <w:proofErr w:type="gramEnd"/>
      <w:r w:rsidRPr="008650FE">
        <w:rPr>
          <w:rFonts w:ascii="Helvetica" w:eastAsia="Times New Roman" w:hAnsi="Helvetica" w:cs="Helvetica"/>
          <w:color w:val="484548"/>
        </w:rPr>
        <w:t xml:space="preserve"> should have the additional procedural rights set forth in the 1940 </w:t>
      </w:r>
      <w:hyperlink r:id="rId6" w:history="1">
        <w:r w:rsidRPr="008650FE">
          <w:rPr>
            <w:rFonts w:ascii="Helvetica" w:eastAsia="Times New Roman" w:hAnsi="Helvetica" w:cs="Helvetica"/>
            <w:i/>
            <w:iCs/>
            <w:color w:val="007AAD"/>
          </w:rPr>
          <w:t>Statement of Principles on Academic Freedom and Tenure</w:t>
        </w:r>
      </w:hyperlink>
      <w:r w:rsidRPr="008650FE">
        <w:rPr>
          <w:rFonts w:ascii="Helvetica" w:eastAsia="Times New Roman" w:hAnsi="Helvetica" w:cs="Helvetica"/>
          <w:i/>
          <w:iCs/>
          <w:color w:val="484548"/>
        </w:rPr>
        <w:t>, </w:t>
      </w:r>
      <w:r w:rsidRPr="008650FE">
        <w:rPr>
          <w:rFonts w:ascii="Helvetica" w:eastAsia="Times New Roman" w:hAnsi="Helvetica" w:cs="Helvetica"/>
          <w:color w:val="484548"/>
        </w:rPr>
        <w:t>and should have the aid of the committee, when needed, in securing the attendance of witnesses. The faculty member or the faculty member’s counsel and the representative designated by the president should have the right, within reasonable limits, to question all witnesses who testify orally. The faculty member should have the opportunity to be confronted by all adverse witnesses. Where unusual and urgent reasons move the hearing committee to withhold this right, or where the witness cannot appear, the identity of the witness, as well as the statements of the witness, should nevertheless be disclosed to the faculty member. Subject to these safeguards, statements may, when necessary, be taken outside the hearing and reported to it. All of the evidence should be duly recorded. Unless special circumstances warrant, it should not be necessary to follow formal rules of court procedure.</w:t>
      </w:r>
    </w:p>
    <w:p w:rsidR="008650FE" w:rsidRPr="008650FE" w:rsidRDefault="008650FE" w:rsidP="008650FE">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484548"/>
        </w:rPr>
      </w:pPr>
      <w:r w:rsidRPr="008650FE">
        <w:rPr>
          <w:rFonts w:ascii="Helvetica" w:eastAsia="Times New Roman" w:hAnsi="Helvetica" w:cs="Helvetica"/>
          <w:i/>
          <w:iCs/>
          <w:color w:val="484548"/>
        </w:rPr>
        <w:t>Consideration by Hearing Committee. </w:t>
      </w:r>
      <w:r w:rsidRPr="008650FE">
        <w:rPr>
          <w:rFonts w:ascii="Helvetica" w:eastAsia="Times New Roman" w:hAnsi="Helvetica" w:cs="Helvetica"/>
          <w:color w:val="484548"/>
        </w:rPr>
        <w:t xml:space="preserve">The committee should reach its decision in conference, on the basis of the hearing. Before doing so, it should give opportunity to the faculty member or the faculty member’s counsel and the representative designated by the president to argue orally before it. If written briefs would be helpful, the committee may request them. The committee </w:t>
      </w:r>
      <w:r w:rsidRPr="008650FE">
        <w:rPr>
          <w:rFonts w:ascii="Helvetica" w:eastAsia="Times New Roman" w:hAnsi="Helvetica" w:cs="Helvetica"/>
          <w:color w:val="484548"/>
        </w:rPr>
        <w:lastRenderedPageBreak/>
        <w:t>may proceed to decision promptly, without having the record of the hearing transcribed, where it feels that a just decision can be reached by this means; or it may await the availability of a transcript of the hearing if its decision would be aided thereby. It should make explicit findings with respect to each of the grounds of removal presented, and a reasoned opinion may be desirable. Publicity concerning the committee’s decision may properly be withheld until consideration has been given to the case by the governing body of the institution. The president and the faculty member should be notified of the decision in writing and should be given a copy of the record of the hearing. Any release to the public should be made through the president’s office.</w:t>
      </w:r>
    </w:p>
    <w:p w:rsidR="008650FE" w:rsidRPr="008650FE" w:rsidRDefault="008650FE" w:rsidP="008650FE">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484548"/>
        </w:rPr>
      </w:pPr>
      <w:r w:rsidRPr="008650FE">
        <w:rPr>
          <w:rFonts w:ascii="Helvetica" w:eastAsia="Times New Roman" w:hAnsi="Helvetica" w:cs="Helvetica"/>
          <w:i/>
          <w:iCs/>
          <w:color w:val="484548"/>
        </w:rPr>
        <w:t>Consideration by Governing Body. </w:t>
      </w:r>
      <w:r w:rsidRPr="008650FE">
        <w:rPr>
          <w:rFonts w:ascii="Helvetica" w:eastAsia="Times New Roman" w:hAnsi="Helvetica" w:cs="Helvetica"/>
          <w:color w:val="484548"/>
        </w:rPr>
        <w:t>The president should transmit to the governing body the full report of the hearing committee, stating its action. On the assumption that the governing board has accepted the principle of the faculty hearing committee, acceptance of the committee’s decision would normally be expected. If the governing body chooses to review the case, its review should be based on the record of the previous hearing, accompanied by opportunity for argument, oral or written or both, by the principals at the hearing or their representatives. The decision of the hearing committee should either be sustained or the proceeding be returned to the committee with objections specified. In such a case the committee should reconsider, taking account of the stated objections and receiving new evidence if necessary. It should frame its decision and communicate it in the same manner as before. Only after study of the committee’s reconsideration should the governing body make a final decision overruling the committee.</w:t>
      </w:r>
    </w:p>
    <w:p w:rsidR="008650FE" w:rsidRPr="008650FE" w:rsidRDefault="008650FE" w:rsidP="008650FE">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484548"/>
        </w:rPr>
      </w:pPr>
      <w:r w:rsidRPr="008650FE">
        <w:rPr>
          <w:rFonts w:ascii="Helvetica" w:eastAsia="Times New Roman" w:hAnsi="Helvetica" w:cs="Helvetica"/>
          <w:i/>
          <w:iCs/>
          <w:color w:val="484548"/>
        </w:rPr>
        <w:t>Publicity. </w:t>
      </w:r>
      <w:r w:rsidRPr="008650FE">
        <w:rPr>
          <w:rFonts w:ascii="Helvetica" w:eastAsia="Times New Roman" w:hAnsi="Helvetica" w:cs="Helvetica"/>
          <w:color w:val="484548"/>
        </w:rPr>
        <w:t>Except for such simple announcements as may be required, covering the time of the hearing and similar matters, public statements about the case by either the faculty member or administrative officers should be avoided so far as possible until the proceedings have been completed. Announcement of the final decision should include a statement of the hearing committee’s original action, if this has not previously been made known.</w:t>
      </w:r>
    </w:p>
    <w:p w:rsidR="008650FE" w:rsidRPr="008650FE" w:rsidRDefault="008650FE" w:rsidP="008650FE">
      <w:pPr>
        <w:pStyle w:val="NoSpacing"/>
        <w:rPr>
          <w:b/>
        </w:rPr>
      </w:pPr>
    </w:p>
    <w:p w:rsidR="008650FE" w:rsidRDefault="008650FE"/>
    <w:sectPr w:rsidR="008650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6210CE"/>
    <w:multiLevelType w:val="multilevel"/>
    <w:tmpl w:val="E28ED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0FE"/>
    <w:rsid w:val="00412FA9"/>
    <w:rsid w:val="008650FE"/>
    <w:rsid w:val="00B33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62C0AE-DB7F-414A-B4A6-B0ADDCA85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650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650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50FE"/>
    <w:pPr>
      <w:spacing w:after="0" w:line="240" w:lineRule="auto"/>
    </w:pPr>
  </w:style>
  <w:style w:type="character" w:customStyle="1" w:styleId="Heading1Char">
    <w:name w:val="Heading 1 Char"/>
    <w:basedOn w:val="DefaultParagraphFont"/>
    <w:link w:val="Heading1"/>
    <w:uiPriority w:val="9"/>
    <w:rsid w:val="008650F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650F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650F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650FE"/>
    <w:rPr>
      <w:i/>
      <w:iCs/>
    </w:rPr>
  </w:style>
  <w:style w:type="character" w:styleId="Hyperlink">
    <w:name w:val="Hyperlink"/>
    <w:basedOn w:val="DefaultParagraphFont"/>
    <w:uiPriority w:val="99"/>
    <w:semiHidden/>
    <w:unhideWhenUsed/>
    <w:rsid w:val="008650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213779">
      <w:bodyDiv w:val="1"/>
      <w:marLeft w:val="0"/>
      <w:marRight w:val="0"/>
      <w:marTop w:val="0"/>
      <w:marBottom w:val="0"/>
      <w:divBdr>
        <w:top w:val="none" w:sz="0" w:space="0" w:color="auto"/>
        <w:left w:val="none" w:sz="0" w:space="0" w:color="auto"/>
        <w:bottom w:val="none" w:sz="0" w:space="0" w:color="auto"/>
        <w:right w:val="none" w:sz="0" w:space="0" w:color="auto"/>
      </w:divBdr>
      <w:divsChild>
        <w:div w:id="1983847054">
          <w:marLeft w:val="0"/>
          <w:marRight w:val="0"/>
          <w:marTop w:val="0"/>
          <w:marBottom w:val="0"/>
          <w:divBdr>
            <w:top w:val="none" w:sz="0" w:space="0" w:color="auto"/>
            <w:left w:val="none" w:sz="0" w:space="0" w:color="auto"/>
            <w:bottom w:val="none" w:sz="0" w:space="0" w:color="auto"/>
            <w:right w:val="none" w:sz="0" w:space="0" w:color="auto"/>
          </w:divBdr>
          <w:divsChild>
            <w:div w:id="1201481217">
              <w:marLeft w:val="0"/>
              <w:marRight w:val="0"/>
              <w:marTop w:val="0"/>
              <w:marBottom w:val="0"/>
              <w:divBdr>
                <w:top w:val="none" w:sz="0" w:space="0" w:color="auto"/>
                <w:left w:val="none" w:sz="0" w:space="0" w:color="auto"/>
                <w:bottom w:val="none" w:sz="0" w:space="0" w:color="auto"/>
                <w:right w:val="none" w:sz="0" w:space="0" w:color="auto"/>
              </w:divBdr>
              <w:divsChild>
                <w:div w:id="709113361">
                  <w:marLeft w:val="0"/>
                  <w:marRight w:val="0"/>
                  <w:marTop w:val="150"/>
                  <w:marBottom w:val="0"/>
                  <w:divBdr>
                    <w:top w:val="none" w:sz="0" w:space="0" w:color="auto"/>
                    <w:left w:val="none" w:sz="0" w:space="0" w:color="auto"/>
                    <w:bottom w:val="none" w:sz="0" w:space="0" w:color="auto"/>
                    <w:right w:val="none" w:sz="0" w:space="0" w:color="auto"/>
                  </w:divBdr>
                  <w:divsChild>
                    <w:div w:id="1614558066">
                      <w:marLeft w:val="0"/>
                      <w:marRight w:val="0"/>
                      <w:marTop w:val="0"/>
                      <w:marBottom w:val="0"/>
                      <w:divBdr>
                        <w:top w:val="none" w:sz="0" w:space="0" w:color="auto"/>
                        <w:left w:val="none" w:sz="0" w:space="0" w:color="auto"/>
                        <w:bottom w:val="none" w:sz="0" w:space="0" w:color="auto"/>
                        <w:right w:val="none" w:sz="0" w:space="0" w:color="auto"/>
                      </w:divBdr>
                      <w:divsChild>
                        <w:div w:id="1381785749">
                          <w:marLeft w:val="0"/>
                          <w:marRight w:val="0"/>
                          <w:marTop w:val="150"/>
                          <w:marBottom w:val="0"/>
                          <w:divBdr>
                            <w:top w:val="none" w:sz="0" w:space="0" w:color="auto"/>
                            <w:left w:val="none" w:sz="0" w:space="0" w:color="auto"/>
                            <w:bottom w:val="none" w:sz="0" w:space="0" w:color="auto"/>
                            <w:right w:val="none" w:sz="0" w:space="0" w:color="auto"/>
                          </w:divBdr>
                          <w:divsChild>
                            <w:div w:id="274678467">
                              <w:marLeft w:val="0"/>
                              <w:marRight w:val="0"/>
                              <w:marTop w:val="0"/>
                              <w:marBottom w:val="0"/>
                              <w:divBdr>
                                <w:top w:val="none" w:sz="0" w:space="0" w:color="auto"/>
                                <w:left w:val="none" w:sz="0" w:space="0" w:color="auto"/>
                                <w:bottom w:val="none" w:sz="0" w:space="0" w:color="auto"/>
                                <w:right w:val="none" w:sz="0" w:space="0" w:color="auto"/>
                              </w:divBdr>
                              <w:divsChild>
                                <w:div w:id="1960407285">
                                  <w:marLeft w:val="0"/>
                                  <w:marRight w:val="0"/>
                                  <w:marTop w:val="0"/>
                                  <w:marBottom w:val="0"/>
                                  <w:divBdr>
                                    <w:top w:val="none" w:sz="0" w:space="0" w:color="auto"/>
                                    <w:left w:val="none" w:sz="0" w:space="0" w:color="auto"/>
                                    <w:bottom w:val="none" w:sz="0" w:space="0" w:color="auto"/>
                                    <w:right w:val="none" w:sz="0" w:space="0" w:color="auto"/>
                                  </w:divBdr>
                                  <w:divsChild>
                                    <w:div w:id="6001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aup.org/AAUP/pubsres/policydocs/contents/1940statement.htm" TargetMode="External"/><Relationship Id="rId5" Type="http://schemas.openxmlformats.org/officeDocument/2006/relationships/hyperlink" Target="https://www.aaup.org/report/1940-statement-principles-academic-freedom-and-tenu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1987</Words>
  <Characters>11332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13293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Cera</dc:creator>
  <cp:keywords/>
  <dc:description/>
  <cp:lastModifiedBy>Christensen, Cera</cp:lastModifiedBy>
  <cp:revision>1</cp:revision>
  <dcterms:created xsi:type="dcterms:W3CDTF">2017-10-02T20:17:00Z</dcterms:created>
  <dcterms:modified xsi:type="dcterms:W3CDTF">2017-10-02T20:19:00Z</dcterms:modified>
</cp:coreProperties>
</file>