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bookmarkStart w:id="0" w:name="_GoBack"/>
      <w:r w:rsidRPr="00BD201F">
        <w:rPr>
          <w:rFonts w:ascii="Times New Roman" w:hAnsi="Times New Roman"/>
          <w:b/>
          <w:bCs/>
          <w:sz w:val="24"/>
          <w:szCs w:val="24"/>
        </w:rPr>
        <w:t>Rules Committee of Academic Senate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Meeting Minutes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Wednesday, October 21, 2015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6:00 p.m. in Conference Room of Faculty Commons</w:t>
      </w:r>
    </w:p>
    <w:bookmarkEnd w:id="0"/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 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Call to Order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Roll Call &amp; Welcome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Present:, </w:t>
      </w:r>
      <w:proofErr w:type="spellStart"/>
      <w:r w:rsidRPr="00BD201F">
        <w:rPr>
          <w:rFonts w:ascii="Times New Roman" w:hAnsi="Times New Roman"/>
          <w:sz w:val="24"/>
          <w:szCs w:val="24"/>
        </w:rPr>
        <w:t>Michalene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Cox, Paula Crowley, Anne Wortham, Henry Olson, Christian Trujillo, Sam Catanzaro, </w:t>
      </w:r>
      <w:proofErr w:type="spellStart"/>
      <w:r w:rsidRPr="00BD201F">
        <w:rPr>
          <w:rFonts w:ascii="Times New Roman" w:hAnsi="Times New Roman"/>
          <w:sz w:val="24"/>
          <w:szCs w:val="24"/>
        </w:rPr>
        <w:t>Obinna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>, Sunil Chebolu, Kyle Falson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Absent: Paul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Guests in attendance: Michael </w:t>
      </w:r>
      <w:proofErr w:type="spellStart"/>
      <w:r w:rsidRPr="00BD201F">
        <w:rPr>
          <w:rFonts w:ascii="Times New Roman" w:hAnsi="Times New Roman"/>
          <w:sz w:val="24"/>
          <w:szCs w:val="24"/>
        </w:rPr>
        <w:t>Byrns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(CAST), Thomas Burr (Library Committee), Alberto Delgado ( Chair of AFEGC)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Approval of Minutes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Motioned by Cox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Seconded by Falson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Unanimous approval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Reports: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Chair’s Report: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 status of task schedule for Rules Committee, 2015-2016</w:t>
      </w:r>
      <w:proofErr w:type="gramStart"/>
      <w:r w:rsidRPr="00BD201F">
        <w:rPr>
          <w:rFonts w:ascii="Times New Roman" w:hAnsi="Times New Roman"/>
          <w:sz w:val="24"/>
          <w:szCs w:val="24"/>
        </w:rPr>
        <w:t>  -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COE Bylaws are on the way.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 status of the Milner Library Council Bylaws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Currently in review and will return soon. Much gratitude expressed.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Communication with Dr. Thomas Burr about representation on the Library Committee – External Committee of the Academic Senate.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Action: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The CAST Bylaws 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Ready to be approved and passed on to Senate.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Motioned by Chebolu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Seconded by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Unanimous approval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b/>
          <w:bCs/>
          <w:sz w:val="24"/>
          <w:szCs w:val="24"/>
        </w:rPr>
        <w:t>Discussion: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Communication with Dr. Thomas Burr about representation on the Library Committee – External Committee of the Academic Senate.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Burr: revisions designed to make the Library Committee more inclusive, notably adding graduate student representation as well.  A potential representative for the committee from </w:t>
      </w:r>
      <w:proofErr w:type="spellStart"/>
      <w:r w:rsidRPr="00BD201F">
        <w:rPr>
          <w:rFonts w:ascii="Times New Roman" w:hAnsi="Times New Roman"/>
          <w:sz w:val="24"/>
          <w:szCs w:val="24"/>
        </w:rPr>
        <w:t>Interm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Dean Murphy has not been on the radar.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“Faculty” wording, referring to tenure vs. non-tenured representation. Who is invested in representing, also student representation.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Burr: currently having student Members from SGA whose voices are heard.  Also, unfortunately, tenured track faculty has a bad habit of not attending meeting.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Would it be possible to add details to specify representation in order to avoid potential ambiguity.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Recommends taking the discussions from the Rules committee back to the Library committee.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Burr: Consideration to address this by email, soliciting any potential negative feedback.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How many people would potentially be represented factoring in College population? Should it be explicit?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Burr: Language is receptive to realistic representation of colleges.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Concern about the potential overrepresentation of some colleges even when larger colleges may not be fully represented.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Can the committee come up with a system to request whether Milner is “meeting the needs” </w:t>
      </w:r>
      <w:proofErr w:type="gramStart"/>
      <w:r w:rsidRPr="00BD201F">
        <w:rPr>
          <w:rFonts w:ascii="Times New Roman" w:hAnsi="Times New Roman"/>
          <w:sz w:val="24"/>
          <w:szCs w:val="24"/>
        </w:rPr>
        <w:t>of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those represented.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Burr: Like the idea of long term potential application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Limitation of representation per college?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>: What does it hurt to have an abundance of representation?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Continuous lack of faculty representation on committees may be a sign to limit what may be necessary.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Burr: It may muddle the information the committee gets, since there would be no true representation.</w:t>
      </w:r>
    </w:p>
    <w:p w:rsidR="00B901EF" w:rsidRPr="00BD201F" w:rsidRDefault="00B901EF" w:rsidP="00B901EF">
      <w:pPr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Contextual addition of strong magnitude of CAST presence.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Experience suggests that may be overthinking this</w:t>
      </w:r>
    </w:p>
    <w:p w:rsidR="00B901EF" w:rsidRPr="00BD201F" w:rsidRDefault="00B901EF" w:rsidP="00B901EF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Purpose of the Library committee?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We need to reflect and be aware of how the Blue Book plays a role into this. I support the concept of putting the purpose up front, but for the sake of conformity, it is probably better to take as is.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Committee: agreement regarding the tenure section of Membership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To be postponed for Library Committee’s response.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Begin the discussion of the Blue Book Description of the AFEGC  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Begin consideration of the revisions to the AFEGC Policy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Delgado: Committee is the last step of peer review to safeguard anything that could potentially go wrong. </w:t>
      </w:r>
      <w:proofErr w:type="gramStart"/>
      <w:r w:rsidRPr="00BD201F">
        <w:rPr>
          <w:rFonts w:ascii="Times New Roman" w:hAnsi="Times New Roman"/>
          <w:sz w:val="24"/>
          <w:szCs w:val="24"/>
        </w:rPr>
        <w:t>Excludes ASPT, OEOEA, and grievances that fall under tenured track faculty.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01F">
        <w:rPr>
          <w:rFonts w:ascii="Times New Roman" w:hAnsi="Times New Roman"/>
          <w:sz w:val="24"/>
          <w:szCs w:val="24"/>
        </w:rPr>
        <w:t>Mainly violations of academic freedom and ethics.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Peer review based. Many are personnel actions “within a whisker of legal action.” </w:t>
      </w:r>
      <w:proofErr w:type="gramStart"/>
      <w:r w:rsidRPr="00BD201F">
        <w:rPr>
          <w:rFonts w:ascii="Times New Roman" w:hAnsi="Times New Roman"/>
          <w:sz w:val="24"/>
          <w:szCs w:val="24"/>
        </w:rPr>
        <w:t>Extensive history being familiar with the processes.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Harbors logistical guidelines and benchmarks where decisions must be made. Criterion, influence of specific components, and evidence, etc. must be taken into consideration. </w:t>
      </w:r>
      <w:proofErr w:type="gramStart"/>
      <w:r w:rsidRPr="00BD201F">
        <w:rPr>
          <w:rFonts w:ascii="Times New Roman" w:hAnsi="Times New Roman"/>
          <w:sz w:val="24"/>
          <w:szCs w:val="24"/>
        </w:rPr>
        <w:t>Procedural issues and deciding factors.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Has this been reviewed before?</w:t>
      </w:r>
    </w:p>
    <w:p w:rsidR="00B901EF" w:rsidRPr="00BD201F" w:rsidRDefault="00B901EF" w:rsidP="00B901EF">
      <w:pPr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This was addressed last year, and was delegated to a subcommittee (Wortham and Catanzaro were members). This is a very confusing policy and is very ambiguous. Reorganization and composition have been in the works. The latest draft from the subcommittee is recommended to be our foundation for future revisions.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Why is the Rules committee doing this?</w:t>
      </w:r>
    </w:p>
    <w:p w:rsidR="00B901EF" w:rsidRPr="00BD201F" w:rsidRDefault="00B901EF" w:rsidP="00B901EF">
      <w:pPr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The Senate writes policy and the committees execute policy. Senate passes, creates, and revises them. There was a meeting with previous chairs of AFEGC for progressive purposes.</w:t>
      </w:r>
    </w:p>
    <w:p w:rsidR="00B901EF" w:rsidRPr="00BD201F" w:rsidRDefault="00B901EF" w:rsidP="00B901EF">
      <w:pPr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Delgado: The senate could charge AFEGC to take responsibility for this action.</w:t>
      </w:r>
    </w:p>
    <w:p w:rsidR="00B901EF" w:rsidRPr="00BD201F" w:rsidRDefault="00B901EF" w:rsidP="00B901EF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 Discussion on the AFEGC policy revisions will continue during our next meeting on November 4. </w:t>
      </w:r>
    </w:p>
    <w:p w:rsidR="00B901EF" w:rsidRPr="00BD201F" w:rsidRDefault="00B901EF" w:rsidP="00B901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Adjournment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Motioned by Chebolu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Seconded by Falson</w:t>
      </w:r>
    </w:p>
    <w:p w:rsidR="00B901EF" w:rsidRPr="00BD201F" w:rsidRDefault="00B901EF" w:rsidP="00B901E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Unanimously approved.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Respectfully Submitted</w:t>
      </w:r>
    </w:p>
    <w:p w:rsidR="00B901EF" w:rsidRPr="00BD201F" w:rsidRDefault="00B901EF" w:rsidP="00B901EF">
      <w:p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Christian Trujillo</w:t>
      </w:r>
    </w:p>
    <w:p w:rsidR="00E82599" w:rsidRDefault="00B901EF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A9E"/>
    <w:multiLevelType w:val="hybridMultilevel"/>
    <w:tmpl w:val="AAE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EF"/>
    <w:rsid w:val="00731BDA"/>
    <w:rsid w:val="009C35A1"/>
    <w:rsid w:val="00B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2016-12-15T19:55:00Z</dcterms:created>
  <dcterms:modified xsi:type="dcterms:W3CDTF">2016-12-15T19:55:00Z</dcterms:modified>
</cp:coreProperties>
</file>